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7C624" w14:textId="77777777" w:rsidR="00634BAA" w:rsidRPr="00634BAA" w:rsidRDefault="00634BAA" w:rsidP="00634BAA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634BAA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Whether polygamy and customary practices displace Christian personal law for probate jurisdiction.</w:t>
      </w:r>
      <w:r w:rsidRPr="00634BAA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Christianity versus customary law; polygamy as indicium of reversion to pagan mode of life; evaluation of documentary and attendance evidence; restraint on disturbing concurrent findings on second appeal.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634BAA" w:rsidRPr="00634BAA" w14:paraId="6C3E611F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AF8F791" w14:textId="77777777" w:rsidR="00634BAA" w:rsidRPr="00634BAA" w:rsidRDefault="00634BAA" w:rsidP="00634BA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634BA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27 March 2026</w:t>
            </w:r>
          </w:p>
        </w:tc>
      </w:tr>
      <w:tr w:rsidR="00634BAA" w:rsidRPr="00634BAA" w14:paraId="774F4FFA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020D9C6" w14:textId="77777777" w:rsidR="00634BAA" w:rsidRPr="00634BAA" w:rsidRDefault="00634BAA" w:rsidP="00634BA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634BA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Neema Masanja Kuya vs Happyness Charles Manoni and Another (PC. CIVIL APPEAL NO. 32307 OF 2025) [2026] TZHC 1083 (27 March 2026)</w:t>
              </w:r>
            </w:hyperlink>
          </w:p>
        </w:tc>
      </w:tr>
    </w:tbl>
    <w:p w14:paraId="46B11C22" w14:textId="77777777" w:rsidR="00634BAA" w:rsidRDefault="00634BAA"/>
    <w:sectPr w:rsidR="0063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A"/>
    <w:rsid w:val="00634BAA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65CF4"/>
  <w15:chartTrackingRefBased/>
  <w15:docId w15:val="{D6D47094-008C-42EF-86C6-988E043F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B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B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B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B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B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B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B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83/eng@2026-03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2026-04-07T13:52:00Z</dcterms:modified>
</cp:coreProperties>
</file>