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AEC8B" w14:textId="77777777" w:rsidR="00DA3D5C" w:rsidRPr="00DA3D5C" w:rsidRDefault="00DA3D5C" w:rsidP="00DA3D5C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DA3D5C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Revision court improperly set aside letters of administration; Primary Court's grant upheld for proper citation and hearing.</w:t>
      </w:r>
      <w:r w:rsidRPr="00DA3D5C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Revocation of letters of administration vs caveat – Compliance with general citation under Primary Courts (Administration of Estates) Rules G.N. No.49/1971 (Rule 5(4), Rule 9) – Limits of revisional jurisdiction – Right to fair hearing in probate revision.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A3D5C" w:rsidRPr="00DA3D5C" w14:paraId="64135C37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4CF16743" w14:textId="77777777" w:rsidR="00DA3D5C" w:rsidRPr="00DA3D5C" w:rsidRDefault="00DA3D5C" w:rsidP="00DA3D5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DA3D5C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26 March 2026</w:t>
            </w:r>
          </w:p>
        </w:tc>
      </w:tr>
      <w:tr w:rsidR="00DA3D5C" w:rsidRPr="00DA3D5C" w14:paraId="17A0A6F8" w14:textId="77777777" w:rsidTr="00C67A1A">
        <w:tc>
          <w:tcPr>
            <w:tcW w:w="9349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5C592E1" w14:textId="77777777" w:rsidR="00DA3D5C" w:rsidRPr="00DA3D5C" w:rsidRDefault="00DA3D5C" w:rsidP="00DA3D5C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DA3D5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Malkiadi Simon Paulo vs Daniel Ami Manimo (Civil Appeal No. 23493 of 2025) [2026] TZHC 1009 (26 March 2026)</w:t>
              </w:r>
            </w:hyperlink>
          </w:p>
        </w:tc>
      </w:tr>
    </w:tbl>
    <w:p w14:paraId="6D8AE1E8" w14:textId="77777777" w:rsidR="00DA3D5C" w:rsidRDefault="00DA3D5C"/>
    <w:sectPr w:rsidR="00DA3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5C"/>
    <w:rsid w:val="00B115D6"/>
    <w:rsid w:val="00DA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54C11"/>
  <w15:chartTrackingRefBased/>
  <w15:docId w15:val="{30E33C34-EE56-4FAA-A84E-D23A3601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D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D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D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D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D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D5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D5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D5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D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D5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D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09/eng@2026-03-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2026-04-07T13:53:00Z</dcterms:modified>
</cp:coreProperties>
</file>