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6D32E8" w14:textId="77777777" w:rsidR="00C55CDF" w:rsidRPr="00C55CDF" w:rsidRDefault="00C55CDF" w:rsidP="00C55CDF">
      <w:pPr>
        <w:numPr>
          <w:ilvl w:val="0"/>
          <w:numId w:val="1"/>
        </w:numPr>
        <w:spacing w:line="259" w:lineRule="auto"/>
        <w:contextualSpacing/>
        <w:rPr>
          <w:rFonts w:ascii="Calibri" w:eastAsia="Calibri" w:hAnsi="Calibri" w:cs="Times New Roman"/>
          <w:sz w:val="22"/>
          <w:szCs w:val="22"/>
          <w:lang/>
        </w:rPr>
      </w:pPr>
      <w:r w:rsidRPr="00C55CDF">
        <w:rPr>
          <w:rFonts w:ascii="Segoe UI" w:eastAsia="Calibri" w:hAnsi="Segoe UI" w:cs="Segoe UI"/>
          <w:i/>
          <w:iCs/>
          <w:color w:val="212529"/>
          <w:sz w:val="23"/>
          <w:szCs w:val="23"/>
          <w:shd w:val="clear" w:color="auto" w:fill="FFFFFF"/>
          <w:lang/>
        </w:rPr>
        <w:t>Requirement of heirs' written consent – Rules 39(f), 71(4) and 72 – Form 56 mandatory – Meeting minutes not substitute – Petition incompetent ab initio – Nullity of subsequent proceedings.</w:t>
      </w:r>
      <w:r w:rsidRPr="00C55CDF">
        <w:rPr>
          <w:rFonts w:ascii="Calibri" w:eastAsia="Calibri" w:hAnsi="Calibri" w:cs="Times New Roman"/>
          <w:sz w:val="22"/>
          <w:szCs w:val="22"/>
          <w:lang/>
        </w:rPr>
        <w:t xml:space="preserve"> </w:t>
      </w:r>
      <w:hyperlink r:id="rId5" w:history="1">
        <w:r w:rsidRPr="00C55CDF">
          <w:rPr>
            <w:rFonts w:ascii="Segoe UI" w:eastAsia="Calibri" w:hAnsi="Segoe UI" w:cs="Segoe UI"/>
            <w:color w:val="005E8F"/>
            <w:sz w:val="23"/>
            <w:szCs w:val="23"/>
            <w:u w:val="single"/>
            <w:shd w:val="clear" w:color="auto" w:fill="FFFFFF"/>
            <w:lang/>
          </w:rPr>
          <w:t>Flora Mtui &amp; Others vs Giliad Shija Mihambo (Civil Appeal No. 625 of 2024) [2026] TZCA 195 (3 March 2026)</w:t>
        </w:r>
      </w:hyperlink>
    </w:p>
    <w:p w14:paraId="55812699" w14:textId="77777777" w:rsidR="00C55CDF" w:rsidRDefault="00C55CDF"/>
    <w:sectPr w:rsidR="00C55C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4B6917"/>
    <w:multiLevelType w:val="hybridMultilevel"/>
    <w:tmpl w:val="C422F4AA"/>
    <w:lvl w:ilvl="0" w:tplc="EC08806A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40973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CDF"/>
    <w:rsid w:val="00B115D6"/>
    <w:rsid w:val="00C55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5D16F8"/>
  <w15:chartTrackingRefBased/>
  <w15:docId w15:val="{768F511F-9545-4FCC-AF89-BF8DBAA28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5C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5C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5CD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5C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5CD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5C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5C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5C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5C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5CD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5C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5CD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5CD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5CD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5C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5C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5C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5C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5C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5C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5C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5C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5C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5C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5C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5CD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5C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5CD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5CD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anzlii.org/en/akn/tz/judgment/tzca/2026/195/eng@2026-03-0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323</Characters>
  <Application>Microsoft Office Word</Application>
  <DocSecurity>0</DocSecurity>
  <Lines>2</Lines>
  <Paragraphs>1</Paragraphs>
  <ScaleCrop>false</ScaleCrop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BABY MAMA</dc:creator>
  <cp:keywords/>
  <dc:description/>
  <cp:lastModifiedBy>BABY MAMA</cp:lastModifiedBy>
  <cp:revision>1</cp:revision>
  <dcterms:created xsi:type="dcterms:W3CDTF">2026-04-07T13:45:00Z</dcterms:created>
  <dcterms:modified xsi:type="dcterms:W3CDTF">2026-04-07T13:47:00Z</dcterms:modified>
</cp:coreProperties>
</file>