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81019C" w14:textId="33F9F089" w:rsidR="008E7AD5" w:rsidRDefault="00D378BA" w:rsidP="00D378BA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PROBATE CASES</w:t>
      </w:r>
    </w:p>
    <w:p w14:paraId="08C66489" w14:textId="5C6DF035" w:rsidR="00DF7B07" w:rsidRPr="009F0D9B" w:rsidRDefault="00DF7B07" w:rsidP="009F0D9B">
      <w:pPr>
        <w:pStyle w:val="ListParagraph"/>
        <w:numPr>
          <w:ilvl w:val="0"/>
          <w:numId w:val="2"/>
        </w:numPr>
        <w:rPr>
          <w:rFonts w:ascii="Segoe UI" w:hAnsi="Segoe UI" w:cs="Segoe UI"/>
          <w:color w:val="212529"/>
          <w:sz w:val="23"/>
          <w:szCs w:val="23"/>
          <w:shd w:val="clear" w:color="auto" w:fill="FFFFFF"/>
        </w:rPr>
      </w:pPr>
      <w:r w:rsidRPr="009F0D9B">
        <w:rPr>
          <w:rFonts w:ascii="Segoe UI" w:hAnsi="Segoe UI" w:cs="Segoe UI"/>
          <w:i/>
          <w:iCs/>
          <w:color w:val="212529"/>
          <w:sz w:val="23"/>
          <w:szCs w:val="23"/>
          <w:shd w:val="clear" w:color="auto" w:fill="FFFFFF"/>
        </w:rPr>
        <w:t>Caveat – Competence of appeal – Capacity of parties – Administrator to be sued in representative capacity – Locus standi – Supplementary record under rule 96(7).</w:t>
      </w:r>
    </w:p>
    <w:tbl>
      <w:tblPr>
        <w:tblW w:w="1246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465"/>
      </w:tblGrid>
      <w:tr w:rsidR="00DF7B07" w:rsidRPr="00DF7B07" w14:paraId="506FF16A" w14:textId="77777777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DEE2E6"/>
              <w:right w:val="single" w:sz="2" w:space="0" w:color="auto"/>
            </w:tcBorders>
            <w:shd w:val="clear" w:color="auto" w:fill="FFFFFF"/>
            <w:noWrap/>
            <w:vAlign w:val="center"/>
            <w:hideMark/>
          </w:tcPr>
          <w:p w14:paraId="6503736C" w14:textId="77777777" w:rsidR="00DF7B07" w:rsidRPr="00DF7B07" w:rsidRDefault="00DF7B07" w:rsidP="00DF7B07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eastAsia="en-TZ"/>
                <w14:ligatures w14:val="none"/>
              </w:rPr>
            </w:pPr>
            <w:r w:rsidRPr="00DF7B07"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eastAsia="en-TZ"/>
                <w14:ligatures w14:val="none"/>
              </w:rPr>
              <w:br/>
            </w:r>
          </w:p>
        </w:tc>
      </w:tr>
      <w:tr w:rsidR="00DF7B07" w:rsidRPr="00DF7B07" w14:paraId="57D00423" w14:textId="77777777" w:rsidTr="00B01D88">
        <w:tc>
          <w:tcPr>
            <w:tcW w:w="12465" w:type="dxa"/>
            <w:tcBorders>
              <w:top w:val="single" w:sz="2" w:space="0" w:color="auto"/>
              <w:left w:val="single" w:sz="2" w:space="0" w:color="auto"/>
              <w:bottom w:val="single" w:sz="6" w:space="0" w:color="DEE2E6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718D6105" w14:textId="1029B49D" w:rsidR="00DF7B07" w:rsidRPr="00DF7B07" w:rsidRDefault="00DF7B07" w:rsidP="00DF7B07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eastAsia="en-TZ"/>
                <w14:ligatures w14:val="none"/>
              </w:rPr>
            </w:pPr>
            <w:hyperlink r:id="rId5" w:history="1">
              <w:proofErr w:type="spellStart"/>
              <w:r w:rsidRPr="00DF7B07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eastAsia="en-TZ"/>
                  <w14:ligatures w14:val="none"/>
                </w:rPr>
                <w:t>Daati</w:t>
              </w:r>
              <w:proofErr w:type="spellEnd"/>
              <w:r w:rsidRPr="00DF7B07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eastAsia="en-TZ"/>
                  <w14:ligatures w14:val="none"/>
                </w:rPr>
                <w:t xml:space="preserve"> </w:t>
              </w:r>
              <w:proofErr w:type="spellStart"/>
              <w:r w:rsidRPr="00DF7B07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eastAsia="en-TZ"/>
                  <w14:ligatures w14:val="none"/>
                </w:rPr>
                <w:t>Siima</w:t>
              </w:r>
              <w:proofErr w:type="spellEnd"/>
              <w:r w:rsidRPr="00DF7B07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eastAsia="en-TZ"/>
                  <w14:ligatures w14:val="none"/>
                </w:rPr>
                <w:t xml:space="preserve"> &amp; Another vs Erro </w:t>
              </w:r>
              <w:proofErr w:type="spellStart"/>
              <w:r w:rsidRPr="00DF7B07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eastAsia="en-TZ"/>
                  <w14:ligatures w14:val="none"/>
                </w:rPr>
                <w:t>Siima</w:t>
              </w:r>
              <w:proofErr w:type="spellEnd"/>
              <w:r w:rsidRPr="00DF7B07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eastAsia="en-TZ"/>
                  <w14:ligatures w14:val="none"/>
                </w:rPr>
                <w:t xml:space="preserve"> (Civil Appeal No. 141 of 2024) [2026] TZCA 333 (23 March 2026)</w:t>
              </w:r>
            </w:hyperlink>
          </w:p>
        </w:tc>
      </w:tr>
    </w:tbl>
    <w:p w14:paraId="1CCB2FA9" w14:textId="60C90A14" w:rsidR="00B01D88" w:rsidRPr="009F0D9B" w:rsidRDefault="00B01D88" w:rsidP="009F0D9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9F0D9B">
        <w:rPr>
          <w:rFonts w:ascii="Segoe UI" w:hAnsi="Segoe UI" w:cs="Segoe UI"/>
          <w:i/>
          <w:iCs/>
          <w:color w:val="212529"/>
          <w:sz w:val="23"/>
          <w:szCs w:val="23"/>
          <w:shd w:val="clear" w:color="auto" w:fill="FFFFFF"/>
        </w:rPr>
        <w:t>Probate and administration – proof of biological relationship – birth certificate not conclusive proof of paternity – DNA testing as preferred scientific proof – refusal to submit to court</w:t>
      </w:r>
      <w:r w:rsidRPr="009F0D9B">
        <w:rPr>
          <w:rFonts w:ascii="Segoe UI" w:hAnsi="Segoe UI" w:cs="Segoe UI"/>
          <w:i/>
          <w:iCs/>
          <w:color w:val="212529"/>
          <w:sz w:val="23"/>
          <w:szCs w:val="23"/>
          <w:shd w:val="clear" w:color="auto" w:fill="FFFFFF"/>
        </w:rPr>
        <w:noBreakHyphen/>
        <w:t>ordered DNA test may undermine claimant's burden of proof – appellate review of concurrent findings of fact.</w:t>
      </w:r>
    </w:p>
    <w:tbl>
      <w:tblPr>
        <w:tblW w:w="1246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465"/>
      </w:tblGrid>
      <w:tr w:rsidR="00B01D88" w:rsidRPr="00B01D88" w14:paraId="4B87ACE6" w14:textId="77777777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DEE2E6"/>
              <w:right w:val="single" w:sz="2" w:space="0" w:color="auto"/>
            </w:tcBorders>
            <w:shd w:val="clear" w:color="auto" w:fill="FFFFFF"/>
            <w:noWrap/>
            <w:vAlign w:val="center"/>
            <w:hideMark/>
          </w:tcPr>
          <w:p w14:paraId="39F01CA5" w14:textId="77777777" w:rsidR="00B01D88" w:rsidRPr="00B01D88" w:rsidRDefault="00B01D88" w:rsidP="00B01D88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eastAsia="en-TZ"/>
                <w14:ligatures w14:val="none"/>
              </w:rPr>
            </w:pPr>
            <w:r w:rsidRPr="00B01D88"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eastAsia="en-TZ"/>
                <w14:ligatures w14:val="none"/>
              </w:rPr>
              <w:br/>
              <w:t>5 March 2026</w:t>
            </w:r>
          </w:p>
        </w:tc>
      </w:tr>
      <w:tr w:rsidR="00B01D88" w:rsidRPr="00B01D88" w14:paraId="4CE88C75" w14:textId="77777777">
        <w:tc>
          <w:tcPr>
            <w:tcW w:w="9349" w:type="dxa"/>
            <w:tcBorders>
              <w:top w:val="single" w:sz="2" w:space="0" w:color="auto"/>
              <w:left w:val="single" w:sz="2" w:space="0" w:color="auto"/>
              <w:bottom w:val="single" w:sz="6" w:space="0" w:color="DEE2E6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2F00CDEB" w14:textId="77777777" w:rsidR="00B01D88" w:rsidRPr="00B01D88" w:rsidRDefault="00B01D88" w:rsidP="00B01D88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eastAsia="en-TZ"/>
                <w14:ligatures w14:val="none"/>
              </w:rPr>
            </w:pPr>
            <w:hyperlink r:id="rId6" w:history="1">
              <w:r w:rsidRPr="00B01D88">
                <w:rPr>
                  <w:rFonts w:ascii="Segoe UI" w:eastAsia="Times New Roman" w:hAnsi="Segoe UI" w:cs="Segoe UI"/>
                  <w:color w:val="0076B3"/>
                  <w:kern w:val="0"/>
                  <w:sz w:val="23"/>
                  <w:szCs w:val="23"/>
                  <w:u w:val="single"/>
                  <w:lang w:eastAsia="en-TZ"/>
                  <w14:ligatures w14:val="none"/>
                </w:rPr>
                <w:t xml:space="preserve">Hassan Said </w:t>
              </w:r>
              <w:proofErr w:type="spellStart"/>
              <w:r w:rsidRPr="00B01D88">
                <w:rPr>
                  <w:rFonts w:ascii="Segoe UI" w:eastAsia="Times New Roman" w:hAnsi="Segoe UI" w:cs="Segoe UI"/>
                  <w:color w:val="0076B3"/>
                  <w:kern w:val="0"/>
                  <w:sz w:val="23"/>
                  <w:szCs w:val="23"/>
                  <w:u w:val="single"/>
                  <w:lang w:eastAsia="en-TZ"/>
                  <w14:ligatures w14:val="none"/>
                </w:rPr>
                <w:t>Kimwaga</w:t>
              </w:r>
              <w:proofErr w:type="spellEnd"/>
              <w:r w:rsidRPr="00B01D88">
                <w:rPr>
                  <w:rFonts w:ascii="Segoe UI" w:eastAsia="Times New Roman" w:hAnsi="Segoe UI" w:cs="Segoe UI"/>
                  <w:color w:val="0076B3"/>
                  <w:kern w:val="0"/>
                  <w:sz w:val="23"/>
                  <w:szCs w:val="23"/>
                  <w:u w:val="single"/>
                  <w:lang w:eastAsia="en-TZ"/>
                  <w14:ligatures w14:val="none"/>
                </w:rPr>
                <w:t xml:space="preserve"> vs Ashraf Said </w:t>
              </w:r>
              <w:proofErr w:type="spellStart"/>
              <w:r w:rsidRPr="00B01D88">
                <w:rPr>
                  <w:rFonts w:ascii="Segoe UI" w:eastAsia="Times New Roman" w:hAnsi="Segoe UI" w:cs="Segoe UI"/>
                  <w:color w:val="0076B3"/>
                  <w:kern w:val="0"/>
                  <w:sz w:val="23"/>
                  <w:szCs w:val="23"/>
                  <w:u w:val="single"/>
                  <w:lang w:eastAsia="en-TZ"/>
                  <w14:ligatures w14:val="none"/>
                </w:rPr>
                <w:t>Kimwaga</w:t>
              </w:r>
              <w:proofErr w:type="spellEnd"/>
              <w:r w:rsidRPr="00B01D88">
                <w:rPr>
                  <w:rFonts w:ascii="Segoe UI" w:eastAsia="Times New Roman" w:hAnsi="Segoe UI" w:cs="Segoe UI"/>
                  <w:color w:val="0076B3"/>
                  <w:kern w:val="0"/>
                  <w:sz w:val="23"/>
                  <w:szCs w:val="23"/>
                  <w:u w:val="single"/>
                  <w:lang w:eastAsia="en-TZ"/>
                  <w14:ligatures w14:val="none"/>
                </w:rPr>
                <w:t xml:space="preserve"> (Civil Appeal No. 1615 of 2024) [2026] TZCA 241 (5 March 2026)</w:t>
              </w:r>
            </w:hyperlink>
          </w:p>
        </w:tc>
      </w:tr>
    </w:tbl>
    <w:p w14:paraId="5A02BBCC" w14:textId="38D9F650" w:rsidR="00DF7B07" w:rsidRDefault="00DF7B07" w:rsidP="00DF7B07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0ADB667E" w14:textId="09B8E8B9" w:rsidR="00650AEF" w:rsidRDefault="00650AEF" w:rsidP="009F0D9B">
      <w:pPr>
        <w:pStyle w:val="ListParagraph"/>
        <w:numPr>
          <w:ilvl w:val="0"/>
          <w:numId w:val="2"/>
        </w:numPr>
      </w:pPr>
      <w:r w:rsidRPr="009F0D9B">
        <w:rPr>
          <w:rFonts w:ascii="Segoe UI" w:hAnsi="Segoe UI" w:cs="Segoe UI"/>
          <w:i/>
          <w:iCs/>
          <w:color w:val="212529"/>
          <w:sz w:val="23"/>
          <w:szCs w:val="23"/>
          <w:shd w:val="clear" w:color="auto" w:fill="FFFFFF"/>
        </w:rPr>
        <w:t>Requirement of heirs' written consent – Rules 39(f), 71(4) and 72 – Form 56 mandatory – Meeting minutes not substitute – Petition incompetent ab initio – Nullity of subsequent proceedings.</w:t>
      </w:r>
      <w:r w:rsidRPr="00650AEF">
        <w:t xml:space="preserve"> </w:t>
      </w:r>
      <w:hyperlink r:id="rId7" w:history="1">
        <w:r w:rsidRPr="009F0D9B">
          <w:rPr>
            <w:rStyle w:val="Hyperlink"/>
            <w:rFonts w:ascii="Segoe UI" w:hAnsi="Segoe UI" w:cs="Segoe UI"/>
            <w:color w:val="005E8F"/>
            <w:sz w:val="23"/>
            <w:szCs w:val="23"/>
            <w:shd w:val="clear" w:color="auto" w:fill="FFFFFF"/>
          </w:rPr>
          <w:t xml:space="preserve">Flora </w:t>
        </w:r>
        <w:proofErr w:type="spellStart"/>
        <w:r w:rsidRPr="009F0D9B">
          <w:rPr>
            <w:rStyle w:val="Hyperlink"/>
            <w:rFonts w:ascii="Segoe UI" w:hAnsi="Segoe UI" w:cs="Segoe UI"/>
            <w:color w:val="005E8F"/>
            <w:sz w:val="23"/>
            <w:szCs w:val="23"/>
            <w:shd w:val="clear" w:color="auto" w:fill="FFFFFF"/>
          </w:rPr>
          <w:t>Mtui</w:t>
        </w:r>
        <w:proofErr w:type="spellEnd"/>
        <w:r w:rsidRPr="009F0D9B">
          <w:rPr>
            <w:rStyle w:val="Hyperlink"/>
            <w:rFonts w:ascii="Segoe UI" w:hAnsi="Segoe UI" w:cs="Segoe UI"/>
            <w:color w:val="005E8F"/>
            <w:sz w:val="23"/>
            <w:szCs w:val="23"/>
            <w:shd w:val="clear" w:color="auto" w:fill="FFFFFF"/>
          </w:rPr>
          <w:t xml:space="preserve"> &amp; Others vs </w:t>
        </w:r>
        <w:proofErr w:type="spellStart"/>
        <w:r w:rsidRPr="009F0D9B">
          <w:rPr>
            <w:rStyle w:val="Hyperlink"/>
            <w:rFonts w:ascii="Segoe UI" w:hAnsi="Segoe UI" w:cs="Segoe UI"/>
            <w:color w:val="005E8F"/>
            <w:sz w:val="23"/>
            <w:szCs w:val="23"/>
            <w:shd w:val="clear" w:color="auto" w:fill="FFFFFF"/>
          </w:rPr>
          <w:t>Giliad</w:t>
        </w:r>
        <w:proofErr w:type="spellEnd"/>
        <w:r w:rsidRPr="009F0D9B">
          <w:rPr>
            <w:rStyle w:val="Hyperlink"/>
            <w:rFonts w:ascii="Segoe UI" w:hAnsi="Segoe UI" w:cs="Segoe UI"/>
            <w:color w:val="005E8F"/>
            <w:sz w:val="23"/>
            <w:szCs w:val="23"/>
            <w:shd w:val="clear" w:color="auto" w:fill="FFFFFF"/>
          </w:rPr>
          <w:t xml:space="preserve"> </w:t>
        </w:r>
        <w:proofErr w:type="spellStart"/>
        <w:r w:rsidRPr="009F0D9B">
          <w:rPr>
            <w:rStyle w:val="Hyperlink"/>
            <w:rFonts w:ascii="Segoe UI" w:hAnsi="Segoe UI" w:cs="Segoe UI"/>
            <w:color w:val="005E8F"/>
            <w:sz w:val="23"/>
            <w:szCs w:val="23"/>
            <w:shd w:val="clear" w:color="auto" w:fill="FFFFFF"/>
          </w:rPr>
          <w:t>Shija</w:t>
        </w:r>
        <w:proofErr w:type="spellEnd"/>
        <w:r w:rsidRPr="009F0D9B">
          <w:rPr>
            <w:rStyle w:val="Hyperlink"/>
            <w:rFonts w:ascii="Segoe UI" w:hAnsi="Segoe UI" w:cs="Segoe UI"/>
            <w:color w:val="005E8F"/>
            <w:sz w:val="23"/>
            <w:szCs w:val="23"/>
            <w:shd w:val="clear" w:color="auto" w:fill="FFFFFF"/>
          </w:rPr>
          <w:t xml:space="preserve"> </w:t>
        </w:r>
        <w:proofErr w:type="spellStart"/>
        <w:r w:rsidRPr="009F0D9B">
          <w:rPr>
            <w:rStyle w:val="Hyperlink"/>
            <w:rFonts w:ascii="Segoe UI" w:hAnsi="Segoe UI" w:cs="Segoe UI"/>
            <w:color w:val="005E8F"/>
            <w:sz w:val="23"/>
            <w:szCs w:val="23"/>
            <w:shd w:val="clear" w:color="auto" w:fill="FFFFFF"/>
          </w:rPr>
          <w:t>Mihambo</w:t>
        </w:r>
        <w:proofErr w:type="spellEnd"/>
        <w:r w:rsidRPr="009F0D9B">
          <w:rPr>
            <w:rStyle w:val="Hyperlink"/>
            <w:rFonts w:ascii="Segoe UI" w:hAnsi="Segoe UI" w:cs="Segoe UI"/>
            <w:color w:val="005E8F"/>
            <w:sz w:val="23"/>
            <w:szCs w:val="23"/>
            <w:shd w:val="clear" w:color="auto" w:fill="FFFFFF"/>
          </w:rPr>
          <w:t xml:space="preserve"> (Civil Appeal No. 625 of 2024) [2026] TZCA 195 (3 March 2026)</w:t>
        </w:r>
      </w:hyperlink>
    </w:p>
    <w:p w14:paraId="7B8ECA3F" w14:textId="7B7A0DC9" w:rsidR="009F0D9B" w:rsidRPr="009F0D9B" w:rsidRDefault="009F0D9B" w:rsidP="009F0D9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9F0D9B">
        <w:rPr>
          <w:rFonts w:ascii="Segoe UI" w:hAnsi="Segoe UI" w:cs="Segoe UI"/>
          <w:i/>
          <w:iCs/>
          <w:color w:val="212529"/>
          <w:sz w:val="23"/>
          <w:szCs w:val="23"/>
          <w:shd w:val="clear" w:color="auto" w:fill="FFFFFF"/>
        </w:rPr>
        <w:t>locus standi — administrator must sue in representative capacity; proceedings in personal name when acting as administrator are nullities; Appellate Jurisdiction Act s.6(2) — power to quash null proceedings; probate — primary court letters of administration.</w:t>
      </w:r>
    </w:p>
    <w:tbl>
      <w:tblPr>
        <w:tblW w:w="1246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465"/>
      </w:tblGrid>
      <w:tr w:rsidR="009F0D9B" w:rsidRPr="009F0D9B" w14:paraId="68E32634" w14:textId="77777777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DEE2E6"/>
              <w:right w:val="single" w:sz="2" w:space="0" w:color="auto"/>
            </w:tcBorders>
            <w:shd w:val="clear" w:color="auto" w:fill="FFFFFF"/>
            <w:noWrap/>
            <w:vAlign w:val="center"/>
            <w:hideMark/>
          </w:tcPr>
          <w:p w14:paraId="2FF1C36E" w14:textId="77777777" w:rsidR="009F0D9B" w:rsidRPr="009F0D9B" w:rsidRDefault="009F0D9B" w:rsidP="009F0D9B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eastAsia="en-TZ"/>
                <w14:ligatures w14:val="none"/>
              </w:rPr>
            </w:pPr>
            <w:r w:rsidRPr="009F0D9B"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eastAsia="en-TZ"/>
                <w14:ligatures w14:val="none"/>
              </w:rPr>
              <w:t>3 March 2026</w:t>
            </w:r>
          </w:p>
        </w:tc>
      </w:tr>
      <w:tr w:rsidR="009F0D9B" w:rsidRPr="009F0D9B" w14:paraId="6E04AC73" w14:textId="77777777" w:rsidTr="00050FBA">
        <w:tc>
          <w:tcPr>
            <w:tcW w:w="12465" w:type="dxa"/>
            <w:tcBorders>
              <w:top w:val="single" w:sz="2" w:space="0" w:color="auto"/>
              <w:left w:val="single" w:sz="2" w:space="0" w:color="auto"/>
              <w:bottom w:val="single" w:sz="6" w:space="0" w:color="DEE2E6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6D3D9186" w14:textId="77777777" w:rsidR="009F0D9B" w:rsidRPr="009F0D9B" w:rsidRDefault="009F0D9B" w:rsidP="009F0D9B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eastAsia="en-TZ"/>
                <w14:ligatures w14:val="none"/>
              </w:rPr>
            </w:pPr>
            <w:hyperlink r:id="rId8" w:history="1">
              <w:r w:rsidRPr="009F0D9B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eastAsia="en-TZ"/>
                  <w14:ligatures w14:val="none"/>
                </w:rPr>
                <w:t xml:space="preserve">Prosper </w:t>
              </w:r>
              <w:proofErr w:type="spellStart"/>
              <w:r w:rsidRPr="009F0D9B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eastAsia="en-TZ"/>
                  <w14:ligatures w14:val="none"/>
                </w:rPr>
                <w:t>Makuru</w:t>
              </w:r>
              <w:proofErr w:type="spellEnd"/>
              <w:r w:rsidRPr="009F0D9B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eastAsia="en-TZ"/>
                  <w14:ligatures w14:val="none"/>
                </w:rPr>
                <w:t xml:space="preserve"> vs Anna Munisi (Civil Appeal No. 1358 of 2024) [2026] TZCA 225 (3 March 2026)</w:t>
              </w:r>
            </w:hyperlink>
          </w:p>
        </w:tc>
      </w:tr>
    </w:tbl>
    <w:p w14:paraId="7633FF7F" w14:textId="77777777" w:rsidR="00050FBA" w:rsidRPr="009F0D9B" w:rsidRDefault="00050FBA" w:rsidP="009F0D9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Segoe UI" w:hAnsi="Segoe UI" w:cs="Segoe UI"/>
          <w:i/>
          <w:iCs/>
          <w:color w:val="212529"/>
          <w:sz w:val="23"/>
          <w:szCs w:val="23"/>
          <w:shd w:val="clear" w:color="auto" w:fill="FFFFFF"/>
        </w:rPr>
        <w:t>locus standi to appeal &amp;</w:t>
      </w:r>
      <w:proofErr w:type="spellStart"/>
      <w:r>
        <w:rPr>
          <w:rFonts w:ascii="Segoe UI" w:hAnsi="Segoe UI" w:cs="Segoe UI"/>
          <w:i/>
          <w:iCs/>
          <w:color w:val="212529"/>
          <w:sz w:val="23"/>
          <w:szCs w:val="23"/>
          <w:shd w:val="clear" w:color="auto" w:fill="FFFFFF"/>
        </w:rPr>
        <w:t>mdash</w:t>
      </w:r>
      <w:proofErr w:type="spellEnd"/>
      <w:r>
        <w:rPr>
          <w:rFonts w:ascii="Segoe UI" w:hAnsi="Segoe UI" w:cs="Segoe UI"/>
          <w:i/>
          <w:iCs/>
          <w:color w:val="212529"/>
          <w:sz w:val="23"/>
          <w:szCs w:val="23"/>
          <w:shd w:val="clear" w:color="auto" w:fill="FFFFFF"/>
        </w:rPr>
        <w:t>; distinction between objector (party) and witness &amp;</w:t>
      </w:r>
      <w:proofErr w:type="spellStart"/>
      <w:r>
        <w:rPr>
          <w:rFonts w:ascii="Segoe UI" w:hAnsi="Segoe UI" w:cs="Segoe UI"/>
          <w:i/>
          <w:iCs/>
          <w:color w:val="212529"/>
          <w:sz w:val="23"/>
          <w:szCs w:val="23"/>
          <w:shd w:val="clear" w:color="auto" w:fill="FFFFFF"/>
        </w:rPr>
        <w:t>mdash</w:t>
      </w:r>
      <w:proofErr w:type="spellEnd"/>
      <w:r>
        <w:rPr>
          <w:rFonts w:ascii="Segoe UI" w:hAnsi="Segoe UI" w:cs="Segoe UI"/>
          <w:i/>
          <w:iCs/>
          <w:color w:val="212529"/>
          <w:sz w:val="23"/>
          <w:szCs w:val="23"/>
          <w:shd w:val="clear" w:color="auto" w:fill="FFFFFF"/>
        </w:rPr>
        <w:t>; objection ruling v. appointment ruling &amp;</w:t>
      </w:r>
      <w:proofErr w:type="spellStart"/>
      <w:r>
        <w:rPr>
          <w:rFonts w:ascii="Segoe UI" w:hAnsi="Segoe UI" w:cs="Segoe UI"/>
          <w:i/>
          <w:iCs/>
          <w:color w:val="212529"/>
          <w:sz w:val="23"/>
          <w:szCs w:val="23"/>
          <w:shd w:val="clear" w:color="auto" w:fill="FFFFFF"/>
        </w:rPr>
        <w:t>mdash</w:t>
      </w:r>
      <w:proofErr w:type="spellEnd"/>
      <w:r>
        <w:rPr>
          <w:rFonts w:ascii="Segoe UI" w:hAnsi="Segoe UI" w:cs="Segoe UI"/>
          <w:i/>
          <w:iCs/>
          <w:color w:val="212529"/>
          <w:sz w:val="23"/>
          <w:szCs w:val="23"/>
          <w:shd w:val="clear" w:color="auto" w:fill="FFFFFF"/>
        </w:rPr>
        <w:t>; nullity of appeal for lack of standing</w:t>
      </w:r>
    </w:p>
    <w:tbl>
      <w:tblPr>
        <w:tblW w:w="1246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465"/>
      </w:tblGrid>
      <w:tr w:rsidR="00050FBA" w:rsidRPr="00050FBA" w14:paraId="2B562B18" w14:textId="77777777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DEE2E6"/>
              <w:right w:val="single" w:sz="2" w:space="0" w:color="auto"/>
            </w:tcBorders>
            <w:shd w:val="clear" w:color="auto" w:fill="FFFFFF"/>
            <w:noWrap/>
            <w:vAlign w:val="center"/>
            <w:hideMark/>
          </w:tcPr>
          <w:p w14:paraId="43DDB42E" w14:textId="77777777" w:rsidR="00050FBA" w:rsidRPr="00050FBA" w:rsidRDefault="00050FBA" w:rsidP="00050FBA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eastAsia="en-TZ"/>
                <w14:ligatures w14:val="none"/>
              </w:rPr>
            </w:pPr>
            <w:r w:rsidRPr="00050FBA"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eastAsia="en-TZ"/>
                <w14:ligatures w14:val="none"/>
              </w:rPr>
              <w:t>27 February 2026</w:t>
            </w:r>
          </w:p>
        </w:tc>
      </w:tr>
      <w:tr w:rsidR="00050FBA" w:rsidRPr="00050FBA" w14:paraId="1785EE1F" w14:textId="77777777" w:rsidTr="00F837B7">
        <w:tc>
          <w:tcPr>
            <w:tcW w:w="12465" w:type="dxa"/>
            <w:tcBorders>
              <w:top w:val="single" w:sz="2" w:space="0" w:color="auto"/>
              <w:left w:val="single" w:sz="2" w:space="0" w:color="auto"/>
              <w:bottom w:val="single" w:sz="6" w:space="0" w:color="DEE2E6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23BFFE27" w14:textId="77777777" w:rsidR="00050FBA" w:rsidRPr="00050FBA" w:rsidRDefault="00050FBA" w:rsidP="00050FBA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eastAsia="en-TZ"/>
                <w14:ligatures w14:val="none"/>
              </w:rPr>
            </w:pPr>
            <w:hyperlink r:id="rId9" w:history="1">
              <w:r w:rsidRPr="00050FBA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eastAsia="en-TZ"/>
                  <w14:ligatures w14:val="none"/>
                </w:rPr>
                <w:t>Robert Emmanuel vs Republic (Criminal Appeal No. 740 of 2024) [2026] TZCA 159 (27 February 2026)</w:t>
              </w:r>
            </w:hyperlink>
          </w:p>
        </w:tc>
      </w:tr>
    </w:tbl>
    <w:p w14:paraId="7BC9D931" w14:textId="77777777" w:rsidR="00F837B7" w:rsidRPr="009F0D9B" w:rsidRDefault="00F837B7" w:rsidP="009F0D9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Segoe UI" w:hAnsi="Segoe UI" w:cs="Segoe UI"/>
          <w:i/>
          <w:iCs/>
          <w:color w:val="212529"/>
          <w:sz w:val="23"/>
          <w:szCs w:val="23"/>
          <w:shd w:val="clear" w:color="auto" w:fill="FFFFFF"/>
        </w:rPr>
        <w:t>Probate and Administration Act s.71 – administrators as representatives – competence of proceedings – proceedings must be against grantee in representative capacity – failure renders proceedings nullity; revisional jurisdiction s.4(2) AJA.</w:t>
      </w:r>
    </w:p>
    <w:tbl>
      <w:tblPr>
        <w:tblW w:w="1246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465"/>
      </w:tblGrid>
      <w:tr w:rsidR="00F837B7" w:rsidRPr="00F837B7" w14:paraId="14EC28A2" w14:textId="77777777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DEE2E6"/>
              <w:right w:val="single" w:sz="2" w:space="0" w:color="auto"/>
            </w:tcBorders>
            <w:shd w:val="clear" w:color="auto" w:fill="FFFFFF"/>
            <w:noWrap/>
            <w:vAlign w:val="center"/>
            <w:hideMark/>
          </w:tcPr>
          <w:p w14:paraId="099E31E1" w14:textId="77777777" w:rsidR="00F837B7" w:rsidRPr="00F837B7" w:rsidRDefault="00F837B7" w:rsidP="00F837B7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eastAsia="en-TZ"/>
                <w14:ligatures w14:val="none"/>
              </w:rPr>
            </w:pPr>
            <w:r w:rsidRPr="00F837B7"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eastAsia="en-TZ"/>
                <w14:ligatures w14:val="none"/>
              </w:rPr>
              <w:t>26 February 2026</w:t>
            </w:r>
          </w:p>
        </w:tc>
      </w:tr>
      <w:tr w:rsidR="00F837B7" w:rsidRPr="00F837B7" w14:paraId="13A041CD" w14:textId="77777777" w:rsidTr="00F837B7">
        <w:tc>
          <w:tcPr>
            <w:tcW w:w="12465" w:type="dxa"/>
            <w:tcBorders>
              <w:top w:val="single" w:sz="2" w:space="0" w:color="auto"/>
              <w:left w:val="single" w:sz="2" w:space="0" w:color="auto"/>
              <w:bottom w:val="single" w:sz="6" w:space="0" w:color="DEE2E6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42DF828D" w14:textId="77777777" w:rsidR="00F837B7" w:rsidRPr="00F837B7" w:rsidRDefault="00F837B7" w:rsidP="00F837B7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eastAsia="en-TZ"/>
                <w14:ligatures w14:val="none"/>
              </w:rPr>
            </w:pPr>
            <w:hyperlink r:id="rId10" w:history="1">
              <w:proofErr w:type="spellStart"/>
              <w:r w:rsidRPr="00F837B7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eastAsia="en-TZ"/>
                  <w14:ligatures w14:val="none"/>
                </w:rPr>
                <w:t>Eliminata</w:t>
              </w:r>
              <w:proofErr w:type="spellEnd"/>
              <w:r w:rsidRPr="00F837B7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eastAsia="en-TZ"/>
                  <w14:ligatures w14:val="none"/>
                </w:rPr>
                <w:t xml:space="preserve"> Masinda &amp; Another vs </w:t>
              </w:r>
              <w:proofErr w:type="spellStart"/>
              <w:r w:rsidRPr="00F837B7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eastAsia="en-TZ"/>
                  <w14:ligatures w14:val="none"/>
                </w:rPr>
                <w:t>Masweti</w:t>
              </w:r>
              <w:proofErr w:type="spellEnd"/>
              <w:r w:rsidRPr="00F837B7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eastAsia="en-TZ"/>
                  <w14:ligatures w14:val="none"/>
                </w:rPr>
                <w:t xml:space="preserve"> Masinda &amp; Another (Civil Appeal No. 491 of 2023) [2026] TZCA 135 (26 February 2026)</w:t>
              </w:r>
            </w:hyperlink>
          </w:p>
        </w:tc>
      </w:tr>
    </w:tbl>
    <w:p w14:paraId="2624C875" w14:textId="77777777" w:rsidR="00F837B7" w:rsidRPr="009F0D9B" w:rsidRDefault="00F837B7" w:rsidP="009F0D9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F34E58">
        <w:rPr>
          <w:rFonts w:ascii="Segoe UI" w:hAnsi="Segoe UI" w:cs="Segoe UI"/>
          <w:i/>
          <w:iCs/>
          <w:color w:val="EE0000"/>
          <w:sz w:val="23"/>
          <w:szCs w:val="23"/>
          <w:shd w:val="clear" w:color="auto" w:fill="FFFFFF"/>
        </w:rPr>
        <w:t>Only grantee of letters of administration may represent estate &amp;</w:t>
      </w:r>
      <w:proofErr w:type="spellStart"/>
      <w:r w:rsidRPr="00F34E58">
        <w:rPr>
          <w:rFonts w:ascii="Segoe UI" w:hAnsi="Segoe UI" w:cs="Segoe UI"/>
          <w:i/>
          <w:iCs/>
          <w:color w:val="EE0000"/>
          <w:sz w:val="23"/>
          <w:szCs w:val="23"/>
          <w:shd w:val="clear" w:color="auto" w:fill="FFFFFF"/>
        </w:rPr>
        <w:t>ndash</w:t>
      </w:r>
      <w:proofErr w:type="spellEnd"/>
      <w:r w:rsidRPr="00F34E58">
        <w:rPr>
          <w:rFonts w:ascii="Segoe UI" w:hAnsi="Segoe UI" w:cs="Segoe UI"/>
          <w:i/>
          <w:iCs/>
          <w:color w:val="EE0000"/>
          <w:sz w:val="23"/>
          <w:szCs w:val="23"/>
          <w:shd w:val="clear" w:color="auto" w:fill="FFFFFF"/>
        </w:rPr>
        <w:t>; Parties sued in personal capacity &amp;</w:t>
      </w:r>
      <w:proofErr w:type="spellStart"/>
      <w:r w:rsidRPr="00F34E58">
        <w:rPr>
          <w:rFonts w:ascii="Segoe UI" w:hAnsi="Segoe UI" w:cs="Segoe UI"/>
          <w:i/>
          <w:iCs/>
          <w:color w:val="EE0000"/>
          <w:sz w:val="23"/>
          <w:szCs w:val="23"/>
          <w:shd w:val="clear" w:color="auto" w:fill="FFFFFF"/>
        </w:rPr>
        <w:t>ndash</w:t>
      </w:r>
      <w:proofErr w:type="spellEnd"/>
      <w:r w:rsidRPr="00F34E58">
        <w:rPr>
          <w:rFonts w:ascii="Segoe UI" w:hAnsi="Segoe UI" w:cs="Segoe UI"/>
          <w:i/>
          <w:iCs/>
          <w:color w:val="EE0000"/>
          <w:sz w:val="23"/>
          <w:szCs w:val="23"/>
          <w:shd w:val="clear" w:color="auto" w:fill="FFFFFF"/>
        </w:rPr>
        <w:t>; Proceedings rendered nullities &amp;</w:t>
      </w:r>
      <w:proofErr w:type="spellStart"/>
      <w:r w:rsidRPr="00F34E58">
        <w:rPr>
          <w:rFonts w:ascii="Segoe UI" w:hAnsi="Segoe UI" w:cs="Segoe UI"/>
          <w:i/>
          <w:iCs/>
          <w:color w:val="EE0000"/>
          <w:sz w:val="23"/>
          <w:szCs w:val="23"/>
          <w:shd w:val="clear" w:color="auto" w:fill="FFFFFF"/>
        </w:rPr>
        <w:t>ndash</w:t>
      </w:r>
      <w:proofErr w:type="spellEnd"/>
      <w:r w:rsidRPr="00F34E58">
        <w:rPr>
          <w:rFonts w:ascii="Segoe UI" w:hAnsi="Segoe UI" w:cs="Segoe UI"/>
          <w:i/>
          <w:iCs/>
          <w:color w:val="EE0000"/>
          <w:sz w:val="23"/>
          <w:szCs w:val="23"/>
          <w:shd w:val="clear" w:color="auto" w:fill="FFFFFF"/>
        </w:rPr>
        <w:t>; Revisional jurisdiction to quash judgments</w:t>
      </w:r>
      <w:r>
        <w:rPr>
          <w:rFonts w:ascii="Segoe UI" w:hAnsi="Segoe UI" w:cs="Segoe UI"/>
          <w:i/>
          <w:iCs/>
          <w:color w:val="212529"/>
          <w:sz w:val="23"/>
          <w:szCs w:val="23"/>
          <w:shd w:val="clear" w:color="auto" w:fill="FFFFFF"/>
        </w:rPr>
        <w:t>.</w:t>
      </w:r>
    </w:p>
    <w:tbl>
      <w:tblPr>
        <w:tblW w:w="1246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465"/>
      </w:tblGrid>
      <w:tr w:rsidR="00F837B7" w:rsidRPr="00F837B7" w14:paraId="47E59E69" w14:textId="77777777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DEE2E6"/>
              <w:right w:val="single" w:sz="2" w:space="0" w:color="auto"/>
            </w:tcBorders>
            <w:shd w:val="clear" w:color="auto" w:fill="FFFFFF"/>
            <w:noWrap/>
            <w:vAlign w:val="center"/>
            <w:hideMark/>
          </w:tcPr>
          <w:p w14:paraId="6C2AFAD5" w14:textId="77777777" w:rsidR="00F837B7" w:rsidRPr="00F837B7" w:rsidRDefault="00F837B7" w:rsidP="00F837B7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eastAsia="en-TZ"/>
                <w14:ligatures w14:val="none"/>
              </w:rPr>
            </w:pPr>
            <w:r w:rsidRPr="00F837B7"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eastAsia="en-TZ"/>
                <w14:ligatures w14:val="none"/>
              </w:rPr>
              <w:lastRenderedPageBreak/>
              <w:br/>
              <w:t>26 February 2026</w:t>
            </w:r>
          </w:p>
        </w:tc>
      </w:tr>
      <w:tr w:rsidR="00F837B7" w:rsidRPr="00F837B7" w14:paraId="0EEF3538" w14:textId="77777777" w:rsidTr="00F837B7">
        <w:tc>
          <w:tcPr>
            <w:tcW w:w="12465" w:type="dxa"/>
            <w:tcBorders>
              <w:top w:val="single" w:sz="2" w:space="0" w:color="auto"/>
              <w:left w:val="single" w:sz="2" w:space="0" w:color="auto"/>
              <w:bottom w:val="single" w:sz="6" w:space="0" w:color="DEE2E6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4EFB04AD" w14:textId="77777777" w:rsidR="00F837B7" w:rsidRPr="00F837B7" w:rsidRDefault="00F837B7" w:rsidP="00F837B7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eastAsia="en-TZ"/>
                <w14:ligatures w14:val="none"/>
              </w:rPr>
            </w:pPr>
            <w:hyperlink r:id="rId11" w:history="1">
              <w:proofErr w:type="spellStart"/>
              <w:r w:rsidRPr="00F837B7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eastAsia="en-TZ"/>
                  <w14:ligatures w14:val="none"/>
                </w:rPr>
                <w:t>Eliminata</w:t>
              </w:r>
              <w:proofErr w:type="spellEnd"/>
              <w:r w:rsidRPr="00F837B7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eastAsia="en-TZ"/>
                  <w14:ligatures w14:val="none"/>
                </w:rPr>
                <w:t xml:space="preserve"> Masinda &amp; Another vs </w:t>
              </w:r>
              <w:proofErr w:type="spellStart"/>
              <w:r w:rsidRPr="00F837B7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eastAsia="en-TZ"/>
                  <w14:ligatures w14:val="none"/>
                </w:rPr>
                <w:t>Masweti</w:t>
              </w:r>
              <w:proofErr w:type="spellEnd"/>
              <w:r w:rsidRPr="00F837B7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eastAsia="en-TZ"/>
                  <w14:ligatures w14:val="none"/>
                </w:rPr>
                <w:t xml:space="preserve"> Masinda &amp; Another (Civil Appeal No. 491 of 2023) [2026] TZCA 153 (26 February 2026)</w:t>
              </w:r>
            </w:hyperlink>
          </w:p>
        </w:tc>
      </w:tr>
    </w:tbl>
    <w:p w14:paraId="35F2CC57" w14:textId="77777777" w:rsidR="00F34E58" w:rsidRPr="009F0D9B" w:rsidRDefault="00F34E58" w:rsidP="009F0D9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Segoe UI" w:hAnsi="Segoe UI" w:cs="Segoe UI"/>
          <w:i/>
          <w:iCs/>
          <w:color w:val="212529"/>
          <w:sz w:val="23"/>
          <w:szCs w:val="23"/>
          <w:shd w:val="clear" w:color="auto" w:fill="FFFFFF"/>
        </w:rPr>
        <w:t> production and tendering of Wills in primary courts – applicable rule pre-amendment (</w:t>
      </w:r>
      <w:proofErr w:type="gramStart"/>
      <w:r>
        <w:rPr>
          <w:rFonts w:ascii="Segoe UI" w:hAnsi="Segoe UI" w:cs="Segoe UI"/>
          <w:i/>
          <w:iCs/>
          <w:color w:val="212529"/>
          <w:sz w:val="23"/>
          <w:szCs w:val="23"/>
          <w:shd w:val="clear" w:color="auto" w:fill="FFFFFF"/>
        </w:rPr>
        <w:t>G.N</w:t>
      </w:r>
      <w:proofErr w:type="gramEnd"/>
      <w:r>
        <w:rPr>
          <w:rFonts w:ascii="Segoe UI" w:hAnsi="Segoe UI" w:cs="Segoe UI"/>
          <w:i/>
          <w:iCs/>
          <w:color w:val="212529"/>
          <w:sz w:val="23"/>
          <w:szCs w:val="23"/>
        </w:rPr>
        <w:br/>
      </w:r>
      <w:r>
        <w:rPr>
          <w:rFonts w:ascii="Segoe UI" w:hAnsi="Segoe UI" w:cs="Segoe UI"/>
          <w:i/>
          <w:iCs/>
          <w:color w:val="212529"/>
          <w:sz w:val="23"/>
          <w:szCs w:val="23"/>
          <w:shd w:val="clear" w:color="auto" w:fill="FFFFFF"/>
        </w:rPr>
        <w:t>No.49 of 1971) – retrospective effect of procedural amendments (</w:t>
      </w:r>
      <w:proofErr w:type="gramStart"/>
      <w:r>
        <w:rPr>
          <w:rFonts w:ascii="Segoe UI" w:hAnsi="Segoe UI" w:cs="Segoe UI"/>
          <w:i/>
          <w:iCs/>
          <w:color w:val="212529"/>
          <w:sz w:val="23"/>
          <w:szCs w:val="23"/>
          <w:shd w:val="clear" w:color="auto" w:fill="FFFFFF"/>
        </w:rPr>
        <w:t>G.N</w:t>
      </w:r>
      <w:proofErr w:type="gramEnd"/>
      <w:r>
        <w:rPr>
          <w:rFonts w:ascii="Segoe UI" w:hAnsi="Segoe UI" w:cs="Segoe UI"/>
          <w:i/>
          <w:iCs/>
          <w:color w:val="212529"/>
          <w:sz w:val="23"/>
          <w:szCs w:val="23"/>
        </w:rPr>
        <w:br/>
      </w:r>
      <w:r>
        <w:rPr>
          <w:rFonts w:ascii="Segoe UI" w:hAnsi="Segoe UI" w:cs="Segoe UI"/>
          <w:i/>
          <w:iCs/>
          <w:color w:val="212529"/>
          <w:sz w:val="23"/>
          <w:szCs w:val="23"/>
          <w:shd w:val="clear" w:color="auto" w:fill="FFFFFF"/>
        </w:rPr>
        <w:t xml:space="preserve">No.428 of 2025) – admissibility and authenticity of Wills – court’s power to decide </w:t>
      </w:r>
      <w:proofErr w:type="spellStart"/>
      <w:r>
        <w:rPr>
          <w:rFonts w:ascii="Segoe UI" w:hAnsi="Segoe UI" w:cs="Segoe UI"/>
          <w:i/>
          <w:iCs/>
          <w:color w:val="212529"/>
          <w:sz w:val="23"/>
          <w:szCs w:val="23"/>
          <w:shd w:val="clear" w:color="auto" w:fill="FFFFFF"/>
        </w:rPr>
        <w:t>unpleaded</w:t>
      </w:r>
      <w:proofErr w:type="spellEnd"/>
      <w:r>
        <w:rPr>
          <w:rFonts w:ascii="Segoe UI" w:hAnsi="Segoe UI" w:cs="Segoe UI"/>
          <w:i/>
          <w:iCs/>
          <w:color w:val="212529"/>
          <w:sz w:val="23"/>
          <w:szCs w:val="23"/>
          <w:shd w:val="clear" w:color="auto" w:fill="FFFFFF"/>
        </w:rPr>
        <w:t xml:space="preserve"> issues when parties leave issue for determination</w:t>
      </w:r>
    </w:p>
    <w:tbl>
      <w:tblPr>
        <w:tblW w:w="1246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465"/>
      </w:tblGrid>
      <w:tr w:rsidR="00F34E58" w:rsidRPr="00F34E58" w14:paraId="18ACAA29" w14:textId="77777777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4" w:space="0" w:color="DEE2E6"/>
              <w:right w:val="single" w:sz="2" w:space="0" w:color="auto"/>
            </w:tcBorders>
            <w:shd w:val="clear" w:color="auto" w:fill="FFFFFF"/>
            <w:noWrap/>
            <w:vAlign w:val="center"/>
            <w:hideMark/>
          </w:tcPr>
          <w:p w14:paraId="3E95ECDD" w14:textId="77777777" w:rsidR="00F34E58" w:rsidRPr="00F34E58" w:rsidRDefault="00F34E58" w:rsidP="00F34E58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val="en-TZ" w:eastAsia="en-TZ"/>
                <w14:ligatures w14:val="none"/>
              </w:rPr>
            </w:pPr>
            <w:r w:rsidRPr="00F34E58"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val="en-TZ" w:eastAsia="en-TZ"/>
                <w14:ligatures w14:val="none"/>
              </w:rPr>
              <w:t>11 February 2026</w:t>
            </w:r>
          </w:p>
        </w:tc>
      </w:tr>
      <w:tr w:rsidR="00F34E58" w:rsidRPr="00F34E58" w14:paraId="6FB4968A" w14:textId="77777777" w:rsidTr="005F030F">
        <w:tc>
          <w:tcPr>
            <w:tcW w:w="12465" w:type="dxa"/>
            <w:tcBorders>
              <w:top w:val="single" w:sz="2" w:space="0" w:color="auto"/>
              <w:left w:val="single" w:sz="2" w:space="0" w:color="auto"/>
              <w:bottom w:val="single" w:sz="4" w:space="0" w:color="DEE2E6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3308B280" w14:textId="77777777" w:rsidR="00F34E58" w:rsidRPr="00F34E58" w:rsidRDefault="00F34E58" w:rsidP="00F34E58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val="en-TZ" w:eastAsia="en-TZ"/>
                <w14:ligatures w14:val="none"/>
              </w:rPr>
            </w:pPr>
            <w:hyperlink r:id="rId12" w:history="1">
              <w:r w:rsidRPr="00F34E58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 xml:space="preserve">Eliahu </w:t>
              </w:r>
              <w:proofErr w:type="spellStart"/>
              <w:r w:rsidRPr="00F34E58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>Lonyamali</w:t>
              </w:r>
              <w:proofErr w:type="spellEnd"/>
              <w:r w:rsidRPr="00F34E58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 xml:space="preserve"> vs Mosses </w:t>
              </w:r>
              <w:proofErr w:type="spellStart"/>
              <w:r w:rsidRPr="00F34E58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>Lonyamali</w:t>
              </w:r>
              <w:proofErr w:type="spellEnd"/>
              <w:r w:rsidRPr="00F34E58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 xml:space="preserve"> &amp; Another (Civil Appeal No. 269 of 2023) [2026] TZCA 44 (10 February 2026)</w:t>
              </w:r>
            </w:hyperlink>
          </w:p>
        </w:tc>
      </w:tr>
    </w:tbl>
    <w:p w14:paraId="40B46AB6" w14:textId="77777777" w:rsidR="005F030F" w:rsidRPr="009F0D9B" w:rsidRDefault="005F030F" w:rsidP="009F0D9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Segoe UI" w:hAnsi="Segoe UI" w:cs="Segoe UI"/>
          <w:i/>
          <w:iCs/>
          <w:color w:val="212529"/>
          <w:sz w:val="23"/>
          <w:szCs w:val="23"/>
          <w:shd w:val="clear" w:color="auto" w:fill="FFFFFF"/>
        </w:rPr>
        <w:t>heirs and distribution — locus standi of non-party applicant — minors in probate proceedings must appear by next friend (Probate &amp; Administration Act s36; s52(a); Order XXXI CPC) — incomplete record — quash and remit proceedings.</w:t>
      </w:r>
    </w:p>
    <w:tbl>
      <w:tblPr>
        <w:tblW w:w="1246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465"/>
      </w:tblGrid>
      <w:tr w:rsidR="005F030F" w:rsidRPr="005F030F" w14:paraId="0376039C" w14:textId="77777777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4" w:space="0" w:color="DEE2E6"/>
              <w:right w:val="single" w:sz="2" w:space="0" w:color="auto"/>
            </w:tcBorders>
            <w:shd w:val="clear" w:color="auto" w:fill="FFFFFF"/>
            <w:noWrap/>
            <w:vAlign w:val="center"/>
            <w:hideMark/>
          </w:tcPr>
          <w:p w14:paraId="646EA327" w14:textId="77777777" w:rsidR="005F030F" w:rsidRPr="005F030F" w:rsidRDefault="005F030F" w:rsidP="005F030F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val="en-TZ" w:eastAsia="en-TZ"/>
                <w14:ligatures w14:val="none"/>
              </w:rPr>
            </w:pPr>
            <w:r w:rsidRPr="005F030F"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val="en-TZ" w:eastAsia="en-TZ"/>
                <w14:ligatures w14:val="none"/>
              </w:rPr>
              <w:br/>
              <w:t>3 February 2026</w:t>
            </w:r>
          </w:p>
        </w:tc>
      </w:tr>
      <w:tr w:rsidR="005F030F" w:rsidRPr="005F030F" w14:paraId="6891D0A1" w14:textId="77777777" w:rsidTr="005631A9">
        <w:tc>
          <w:tcPr>
            <w:tcW w:w="12465" w:type="dxa"/>
            <w:tcBorders>
              <w:top w:val="single" w:sz="2" w:space="0" w:color="auto"/>
              <w:left w:val="single" w:sz="2" w:space="0" w:color="auto"/>
              <w:bottom w:val="single" w:sz="4" w:space="0" w:color="DEE2E6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6175357C" w14:textId="77777777" w:rsidR="005F030F" w:rsidRPr="005F030F" w:rsidRDefault="005F030F" w:rsidP="005F030F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val="en-TZ" w:eastAsia="en-TZ"/>
                <w14:ligatures w14:val="none"/>
              </w:rPr>
            </w:pPr>
            <w:hyperlink r:id="rId13" w:history="1">
              <w:r w:rsidRPr="005F030F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>Naomi Christopher Shayo &amp; Another vs Manfred Clement Mbuya &amp; Another (Civil Application No. 406/01 of 2024) [2026] TZCA 27 (3 February 2026)</w:t>
              </w:r>
            </w:hyperlink>
          </w:p>
        </w:tc>
      </w:tr>
    </w:tbl>
    <w:p w14:paraId="49B0DD4D" w14:textId="77777777" w:rsidR="005631A9" w:rsidRPr="009F0D9B" w:rsidRDefault="005631A9" w:rsidP="009F0D9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Segoe UI" w:hAnsi="Segoe UI" w:cs="Segoe UI"/>
          <w:i/>
          <w:iCs/>
          <w:color w:val="212529"/>
          <w:sz w:val="23"/>
          <w:szCs w:val="23"/>
          <w:shd w:val="clear" w:color="auto" w:fill="FFFFFF"/>
        </w:rPr>
        <w:t>administrators and transmission of shares by operation of law — unfair prejudice petition — interlocutory injunction — requirement of share transfer/registration as member.</w:t>
      </w:r>
    </w:p>
    <w:tbl>
      <w:tblPr>
        <w:tblW w:w="1246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465"/>
      </w:tblGrid>
      <w:tr w:rsidR="005631A9" w:rsidRPr="005631A9" w14:paraId="666C9A74" w14:textId="77777777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4" w:space="0" w:color="DEE2E6"/>
              <w:right w:val="single" w:sz="2" w:space="0" w:color="auto"/>
            </w:tcBorders>
            <w:shd w:val="clear" w:color="auto" w:fill="FFFFFF"/>
            <w:noWrap/>
            <w:vAlign w:val="center"/>
            <w:hideMark/>
          </w:tcPr>
          <w:p w14:paraId="2126BEA6" w14:textId="77777777" w:rsidR="005631A9" w:rsidRPr="005631A9" w:rsidRDefault="005631A9" w:rsidP="005631A9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val="en-TZ" w:eastAsia="en-TZ"/>
                <w14:ligatures w14:val="none"/>
              </w:rPr>
            </w:pPr>
            <w:r w:rsidRPr="005631A9"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val="en-TZ" w:eastAsia="en-TZ"/>
                <w14:ligatures w14:val="none"/>
              </w:rPr>
              <w:br/>
              <w:t>12 February 2026</w:t>
            </w:r>
          </w:p>
        </w:tc>
      </w:tr>
      <w:tr w:rsidR="005631A9" w:rsidRPr="005631A9" w14:paraId="7353ABEB" w14:textId="77777777" w:rsidTr="00EF176E">
        <w:tc>
          <w:tcPr>
            <w:tcW w:w="12465" w:type="dxa"/>
            <w:tcBorders>
              <w:top w:val="single" w:sz="2" w:space="0" w:color="auto"/>
              <w:left w:val="single" w:sz="2" w:space="0" w:color="auto"/>
              <w:bottom w:val="single" w:sz="4" w:space="0" w:color="DEE2E6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6F6E3E29" w14:textId="77777777" w:rsidR="005631A9" w:rsidRPr="005631A9" w:rsidRDefault="005631A9" w:rsidP="005631A9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val="en-TZ" w:eastAsia="en-TZ"/>
                <w14:ligatures w14:val="none"/>
              </w:rPr>
            </w:pPr>
            <w:hyperlink r:id="rId14" w:history="1">
              <w:proofErr w:type="spellStart"/>
              <w:r w:rsidRPr="005631A9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>Kalokora</w:t>
              </w:r>
              <w:proofErr w:type="spellEnd"/>
              <w:r w:rsidRPr="005631A9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 xml:space="preserve"> </w:t>
              </w:r>
              <w:proofErr w:type="spellStart"/>
              <w:r w:rsidRPr="005631A9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>Bwesha</w:t>
              </w:r>
              <w:proofErr w:type="spellEnd"/>
              <w:r w:rsidRPr="005631A9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 xml:space="preserve"> and Another vs Wananchi Group Tanzania Limited and 5 Others (Misc. Commercial Application No. 31312 of 2025) [2026] </w:t>
              </w:r>
              <w:proofErr w:type="spellStart"/>
              <w:r w:rsidRPr="005631A9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>TZHCComD</w:t>
              </w:r>
              <w:proofErr w:type="spellEnd"/>
              <w:r w:rsidRPr="005631A9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 xml:space="preserve"> 20 (11 February 2026)</w:t>
              </w:r>
            </w:hyperlink>
          </w:p>
        </w:tc>
      </w:tr>
    </w:tbl>
    <w:p w14:paraId="4CF8A74E" w14:textId="77777777" w:rsidR="00EF176E" w:rsidRPr="009F0D9B" w:rsidRDefault="00EF176E" w:rsidP="009F0D9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Segoe UI" w:hAnsi="Segoe UI" w:cs="Segoe UI"/>
          <w:color w:val="212529"/>
          <w:sz w:val="23"/>
          <w:szCs w:val="23"/>
          <w:shd w:val="clear" w:color="auto" w:fill="FFFFFF"/>
        </w:rPr>
        <w:t>Closure of probate without summoning a co-administrator is an illegality warranting extension of time to appeal</w:t>
      </w:r>
      <w:r>
        <w:rPr>
          <w:rFonts w:ascii="Segoe UI" w:hAnsi="Segoe UI" w:cs="Segoe UI"/>
          <w:color w:val="212529"/>
          <w:sz w:val="23"/>
          <w:szCs w:val="23"/>
          <w:shd w:val="clear" w:color="auto" w:fill="FFFFFF"/>
        </w:rPr>
        <w:t xml:space="preserve">. </w:t>
      </w:r>
      <w:r>
        <w:rPr>
          <w:rFonts w:ascii="Segoe UI" w:hAnsi="Segoe UI" w:cs="Segoe UI"/>
          <w:i/>
          <w:iCs/>
          <w:color w:val="212529"/>
          <w:sz w:val="23"/>
          <w:szCs w:val="23"/>
          <w:shd w:val="clear" w:color="auto" w:fill="FFFFFF"/>
        </w:rPr>
        <w:t xml:space="preserve">closure of administration — mandatory summons to heirs, creditors and co-administrator — procedural irregularity/illegality apparent on the record — extension of time — </w:t>
      </w:r>
      <w:proofErr w:type="spellStart"/>
      <w:r>
        <w:rPr>
          <w:rFonts w:ascii="Segoe UI" w:hAnsi="Segoe UI" w:cs="Segoe UI"/>
          <w:i/>
          <w:iCs/>
          <w:color w:val="212529"/>
          <w:sz w:val="23"/>
          <w:szCs w:val="23"/>
          <w:shd w:val="clear" w:color="auto" w:fill="FFFFFF"/>
        </w:rPr>
        <w:t>Lyamuya</w:t>
      </w:r>
      <w:proofErr w:type="spellEnd"/>
      <w:r>
        <w:rPr>
          <w:rFonts w:ascii="Segoe UI" w:hAnsi="Segoe UI" w:cs="Segoe UI"/>
          <w:i/>
          <w:iCs/>
          <w:color w:val="212529"/>
          <w:sz w:val="23"/>
          <w:szCs w:val="23"/>
          <w:shd w:val="clear" w:color="auto" w:fill="FFFFFF"/>
        </w:rPr>
        <w:t xml:space="preserve"> guidelines</w:t>
      </w:r>
      <w:r>
        <w:rPr>
          <w:rFonts w:ascii="Segoe UI" w:hAnsi="Segoe UI" w:cs="Segoe UI"/>
          <w:i/>
          <w:iCs/>
          <w:color w:val="212529"/>
          <w:sz w:val="23"/>
          <w:szCs w:val="23"/>
          <w:shd w:val="clear" w:color="auto" w:fill="FFFFFF"/>
        </w:rPr>
        <w:t xml:space="preserve">. </w:t>
      </w:r>
    </w:p>
    <w:tbl>
      <w:tblPr>
        <w:tblW w:w="1246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465"/>
      </w:tblGrid>
      <w:tr w:rsidR="00EF176E" w:rsidRPr="00EF176E" w14:paraId="36164D75" w14:textId="77777777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4" w:space="0" w:color="DEE2E6"/>
              <w:right w:val="single" w:sz="2" w:space="0" w:color="auto"/>
            </w:tcBorders>
            <w:shd w:val="clear" w:color="auto" w:fill="FFFFFF"/>
            <w:noWrap/>
            <w:vAlign w:val="center"/>
            <w:hideMark/>
          </w:tcPr>
          <w:p w14:paraId="7A3749C7" w14:textId="77777777" w:rsidR="00EF176E" w:rsidRPr="00EF176E" w:rsidRDefault="00EF176E" w:rsidP="00EF176E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val="en-TZ" w:eastAsia="en-TZ"/>
                <w14:ligatures w14:val="none"/>
              </w:rPr>
            </w:pPr>
            <w:r w:rsidRPr="00EF176E"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val="en-TZ" w:eastAsia="en-TZ"/>
                <w14:ligatures w14:val="none"/>
              </w:rPr>
              <w:t>31 March 2026</w:t>
            </w:r>
          </w:p>
        </w:tc>
      </w:tr>
      <w:tr w:rsidR="00EF176E" w:rsidRPr="00EF176E" w14:paraId="55E0751C" w14:textId="77777777" w:rsidTr="008714D1">
        <w:tc>
          <w:tcPr>
            <w:tcW w:w="12465" w:type="dxa"/>
            <w:tcBorders>
              <w:top w:val="single" w:sz="2" w:space="0" w:color="auto"/>
              <w:left w:val="single" w:sz="2" w:space="0" w:color="auto"/>
              <w:bottom w:val="single" w:sz="4" w:space="0" w:color="DEE2E6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10A64637" w14:textId="77777777" w:rsidR="00EF176E" w:rsidRPr="00EF176E" w:rsidRDefault="00EF176E" w:rsidP="00EF176E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val="en-TZ" w:eastAsia="en-TZ"/>
                <w14:ligatures w14:val="none"/>
              </w:rPr>
            </w:pPr>
            <w:hyperlink r:id="rId15" w:history="1">
              <w:r w:rsidRPr="00EF176E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 xml:space="preserve">Shamila Daudi vs </w:t>
              </w:r>
              <w:proofErr w:type="spellStart"/>
              <w:r w:rsidRPr="00EF176E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>Saudath</w:t>
              </w:r>
              <w:proofErr w:type="spellEnd"/>
              <w:r w:rsidRPr="00EF176E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 xml:space="preserve"> Sadru </w:t>
              </w:r>
              <w:proofErr w:type="spellStart"/>
              <w:r w:rsidRPr="00EF176E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>Katabaro</w:t>
              </w:r>
              <w:proofErr w:type="spellEnd"/>
              <w:r w:rsidRPr="00EF176E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 xml:space="preserve"> (PC. Civil Appeal No. 3446 of 2025) [2026] TZHC 1154 (31 March 2026)</w:t>
              </w:r>
            </w:hyperlink>
          </w:p>
        </w:tc>
      </w:tr>
    </w:tbl>
    <w:p w14:paraId="722EDE23" w14:textId="77777777" w:rsidR="008714D1" w:rsidRPr="009F0D9B" w:rsidRDefault="008714D1" w:rsidP="009F0D9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Segoe UI" w:hAnsi="Segoe UI" w:cs="Segoe UI"/>
          <w:color w:val="212529"/>
          <w:sz w:val="23"/>
          <w:szCs w:val="23"/>
          <w:shd w:val="clear" w:color="auto" w:fill="FFFFFF"/>
        </w:rPr>
        <w:t>Primary Court lacked jurisdiction to reopen concluded probate; revision lies with District Court, appeal dismissed</w:t>
      </w:r>
      <w:r>
        <w:rPr>
          <w:rFonts w:ascii="Segoe UI" w:hAnsi="Segoe UI" w:cs="Segoe UI"/>
          <w:color w:val="212529"/>
          <w:sz w:val="23"/>
          <w:szCs w:val="23"/>
          <w:shd w:val="clear" w:color="auto" w:fill="FFFFFF"/>
        </w:rPr>
        <w:t xml:space="preserve">. </w:t>
      </w:r>
      <w:r>
        <w:rPr>
          <w:rFonts w:ascii="Segoe UI" w:hAnsi="Segoe UI" w:cs="Segoe UI"/>
          <w:i/>
          <w:iCs/>
          <w:color w:val="212529"/>
          <w:sz w:val="23"/>
          <w:szCs w:val="23"/>
          <w:shd w:val="clear" w:color="auto" w:fill="FFFFFF"/>
        </w:rPr>
        <w:t>jurisdiction – functus officio – Primary Courts (Administration of Estates) Rules, Rule 8(f) – Magistrates’ Courts Act s.22(1) – revisionary powers – preliminary objection – finality of litigation</w:t>
      </w:r>
      <w:r>
        <w:rPr>
          <w:rFonts w:ascii="Segoe UI" w:hAnsi="Segoe UI" w:cs="Segoe UI"/>
          <w:i/>
          <w:iCs/>
          <w:color w:val="212529"/>
          <w:sz w:val="23"/>
          <w:szCs w:val="23"/>
          <w:shd w:val="clear" w:color="auto" w:fill="FFFFFF"/>
        </w:rPr>
        <w:t xml:space="preserve">. </w:t>
      </w:r>
    </w:p>
    <w:tbl>
      <w:tblPr>
        <w:tblW w:w="1246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465"/>
      </w:tblGrid>
      <w:tr w:rsidR="008714D1" w:rsidRPr="008714D1" w14:paraId="065E183A" w14:textId="77777777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4" w:space="0" w:color="DEE2E6"/>
              <w:right w:val="single" w:sz="2" w:space="0" w:color="auto"/>
            </w:tcBorders>
            <w:shd w:val="clear" w:color="auto" w:fill="FFFFFF"/>
            <w:noWrap/>
            <w:vAlign w:val="center"/>
            <w:hideMark/>
          </w:tcPr>
          <w:p w14:paraId="0B0CD543" w14:textId="77777777" w:rsidR="008714D1" w:rsidRPr="008714D1" w:rsidRDefault="008714D1" w:rsidP="008714D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val="en-TZ" w:eastAsia="en-TZ"/>
                <w14:ligatures w14:val="none"/>
              </w:rPr>
            </w:pPr>
            <w:r w:rsidRPr="008714D1"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val="en-TZ" w:eastAsia="en-TZ"/>
                <w14:ligatures w14:val="none"/>
              </w:rPr>
              <w:t>30 March 2026</w:t>
            </w:r>
          </w:p>
        </w:tc>
      </w:tr>
      <w:tr w:rsidR="008714D1" w:rsidRPr="008714D1" w14:paraId="7D35A597" w14:textId="77777777" w:rsidTr="008714D1">
        <w:tc>
          <w:tcPr>
            <w:tcW w:w="12465" w:type="dxa"/>
            <w:tcBorders>
              <w:top w:val="single" w:sz="2" w:space="0" w:color="auto"/>
              <w:left w:val="single" w:sz="2" w:space="0" w:color="auto"/>
              <w:bottom w:val="single" w:sz="4" w:space="0" w:color="DEE2E6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62D414FA" w14:textId="77777777" w:rsidR="008714D1" w:rsidRPr="008714D1" w:rsidRDefault="008714D1" w:rsidP="008714D1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val="en-TZ" w:eastAsia="en-TZ"/>
                <w14:ligatures w14:val="none"/>
              </w:rPr>
            </w:pPr>
            <w:hyperlink r:id="rId16" w:history="1">
              <w:r w:rsidRPr="008714D1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 xml:space="preserve">Mrisho Jumanne </w:t>
              </w:r>
              <w:proofErr w:type="spellStart"/>
              <w:r w:rsidRPr="008714D1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>Mlewa</w:t>
              </w:r>
              <w:proofErr w:type="spellEnd"/>
              <w:r w:rsidRPr="008714D1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 xml:space="preserve"> vs Mwanaidi Ali </w:t>
              </w:r>
              <w:proofErr w:type="spellStart"/>
              <w:r w:rsidRPr="008714D1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>Gwau</w:t>
              </w:r>
              <w:proofErr w:type="spellEnd"/>
              <w:r w:rsidRPr="008714D1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 xml:space="preserve"> (PC CIVIL APPEAL NO. 31018 OF 2025; Probate Appeal No. 22748of 2025; Probate No. 48 of 2012) [2026] TZHC 1165 (30 March 2026)</w:t>
              </w:r>
            </w:hyperlink>
          </w:p>
        </w:tc>
      </w:tr>
    </w:tbl>
    <w:p w14:paraId="24A8E893" w14:textId="77777777" w:rsidR="008714D1" w:rsidRPr="009F0D9B" w:rsidRDefault="008714D1" w:rsidP="009F0D9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Segoe UI" w:hAnsi="Segoe UI" w:cs="Segoe UI"/>
          <w:color w:val="212529"/>
          <w:sz w:val="23"/>
          <w:szCs w:val="23"/>
          <w:shd w:val="clear" w:color="auto" w:fill="FFFFFF"/>
        </w:rPr>
        <w:lastRenderedPageBreak/>
        <w:t>Probate court misdirected by resolving matrimonial status; respondent's appointment as administrator quashed.</w:t>
      </w:r>
      <w:r w:rsidRPr="008714D1">
        <w:rPr>
          <w:rFonts w:ascii="Segoe UI" w:hAnsi="Segoe UI" w:cs="Segoe UI"/>
          <w:i/>
          <w:iCs/>
          <w:color w:val="212529"/>
          <w:sz w:val="23"/>
          <w:szCs w:val="23"/>
          <w:shd w:val="clear" w:color="auto" w:fill="FFFFFF"/>
        </w:rPr>
        <w:t xml:space="preserve"> </w:t>
      </w:r>
      <w:r>
        <w:rPr>
          <w:rFonts w:ascii="Segoe UI" w:hAnsi="Segoe UI" w:cs="Segoe UI"/>
          <w:i/>
          <w:iCs/>
          <w:color w:val="212529"/>
          <w:sz w:val="23"/>
          <w:szCs w:val="23"/>
          <w:shd w:val="clear" w:color="auto" w:fill="FFFFFF"/>
        </w:rPr>
        <w:t>Appointment of administrator – Judicial discretion – Probate court lacks jurisdiction to conclusively determine marital validity; evidence evaluation and fitness to administer</w:t>
      </w:r>
      <w:r>
        <w:rPr>
          <w:rFonts w:ascii="Segoe UI" w:hAnsi="Segoe UI" w:cs="Segoe UI"/>
          <w:i/>
          <w:iCs/>
          <w:color w:val="212529"/>
          <w:sz w:val="23"/>
          <w:szCs w:val="23"/>
          <w:shd w:val="clear" w:color="auto" w:fill="FFFFFF"/>
        </w:rPr>
        <w:t>.</w:t>
      </w:r>
    </w:p>
    <w:tbl>
      <w:tblPr>
        <w:tblW w:w="1246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465"/>
      </w:tblGrid>
      <w:tr w:rsidR="008714D1" w:rsidRPr="008714D1" w14:paraId="3553809F" w14:textId="77777777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4" w:space="0" w:color="DEE2E6"/>
              <w:right w:val="single" w:sz="2" w:space="0" w:color="auto"/>
            </w:tcBorders>
            <w:shd w:val="clear" w:color="auto" w:fill="FFFFFF"/>
            <w:noWrap/>
            <w:vAlign w:val="center"/>
            <w:hideMark/>
          </w:tcPr>
          <w:p w14:paraId="7EEF1708" w14:textId="77777777" w:rsidR="008714D1" w:rsidRPr="008714D1" w:rsidRDefault="008714D1" w:rsidP="008714D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val="en-TZ" w:eastAsia="en-TZ"/>
                <w14:ligatures w14:val="none"/>
              </w:rPr>
            </w:pPr>
            <w:r w:rsidRPr="008714D1"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val="en-TZ" w:eastAsia="en-TZ"/>
                <w14:ligatures w14:val="none"/>
              </w:rPr>
              <w:t>30 March 2026</w:t>
            </w:r>
          </w:p>
        </w:tc>
      </w:tr>
      <w:tr w:rsidR="008714D1" w:rsidRPr="008714D1" w14:paraId="6DBE3868" w14:textId="77777777" w:rsidTr="00A30CE8">
        <w:tc>
          <w:tcPr>
            <w:tcW w:w="12465" w:type="dxa"/>
            <w:tcBorders>
              <w:top w:val="single" w:sz="2" w:space="0" w:color="auto"/>
              <w:left w:val="single" w:sz="2" w:space="0" w:color="auto"/>
              <w:bottom w:val="single" w:sz="4" w:space="0" w:color="DEE2E6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5F7A3132" w14:textId="77777777" w:rsidR="008714D1" w:rsidRPr="008714D1" w:rsidRDefault="008714D1" w:rsidP="008714D1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val="en-TZ" w:eastAsia="en-TZ"/>
                <w14:ligatures w14:val="none"/>
              </w:rPr>
            </w:pPr>
            <w:hyperlink r:id="rId17" w:history="1">
              <w:r w:rsidRPr="008714D1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 xml:space="preserve">Peter </w:t>
              </w:r>
              <w:proofErr w:type="spellStart"/>
              <w:r w:rsidRPr="008714D1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>Sabuni</w:t>
              </w:r>
              <w:proofErr w:type="spellEnd"/>
              <w:r w:rsidRPr="008714D1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 xml:space="preserve"> </w:t>
              </w:r>
              <w:proofErr w:type="spellStart"/>
              <w:r w:rsidRPr="008714D1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>Kamole</w:t>
              </w:r>
              <w:proofErr w:type="spellEnd"/>
              <w:r w:rsidRPr="008714D1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 xml:space="preserve"> vs Godfrey Paschal </w:t>
              </w:r>
              <w:proofErr w:type="spellStart"/>
              <w:r w:rsidRPr="008714D1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>Isimwe</w:t>
              </w:r>
              <w:proofErr w:type="spellEnd"/>
              <w:r w:rsidRPr="008714D1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 xml:space="preserve"> (As Administrator of the Estate of Late Eva Paschal </w:t>
              </w:r>
              <w:proofErr w:type="spellStart"/>
              <w:r w:rsidRPr="008714D1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>Kakobe</w:t>
              </w:r>
              <w:proofErr w:type="spellEnd"/>
              <w:r w:rsidRPr="008714D1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>) (Civil Appeal No. 30172 of 2025) [2026] TZHC 1128 (30 March 2026)</w:t>
              </w:r>
            </w:hyperlink>
          </w:p>
        </w:tc>
      </w:tr>
    </w:tbl>
    <w:p w14:paraId="16508019" w14:textId="77777777" w:rsidR="00A30CE8" w:rsidRPr="009F0D9B" w:rsidRDefault="00A30CE8" w:rsidP="009F0D9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Segoe UI" w:hAnsi="Segoe UI" w:cs="Segoe UI"/>
          <w:color w:val="212529"/>
          <w:sz w:val="23"/>
          <w:szCs w:val="23"/>
          <w:shd w:val="clear" w:color="auto" w:fill="FFFFFF"/>
        </w:rPr>
        <w:t>Administrator may lawfully sell estate land absent proof of prior lawful distribution; bona fide purchaser’s title upheld.</w:t>
      </w:r>
      <w:r w:rsidRPr="00A30CE8">
        <w:rPr>
          <w:rFonts w:ascii="Segoe UI" w:hAnsi="Segoe UI" w:cs="Segoe UI"/>
          <w:i/>
          <w:iCs/>
          <w:color w:val="212529"/>
          <w:sz w:val="23"/>
          <w:szCs w:val="23"/>
          <w:shd w:val="clear" w:color="auto" w:fill="FFFFFF"/>
        </w:rPr>
        <w:t xml:space="preserve"> </w:t>
      </w:r>
      <w:r>
        <w:rPr>
          <w:rFonts w:ascii="Segoe UI" w:hAnsi="Segoe UI" w:cs="Segoe UI"/>
          <w:i/>
          <w:iCs/>
          <w:color w:val="212529"/>
          <w:sz w:val="23"/>
          <w:szCs w:val="23"/>
          <w:shd w:val="clear" w:color="auto" w:fill="FFFFFF"/>
        </w:rPr>
        <w:t>jurisdiction of land courts; Probate law — administrator duties, Form Mirathi</w:t>
      </w:r>
      <w:r>
        <w:rPr>
          <w:rFonts w:ascii="Segoe UI" w:hAnsi="Segoe UI" w:cs="Segoe UI"/>
          <w:i/>
          <w:iCs/>
          <w:color w:val="212529"/>
          <w:sz w:val="23"/>
          <w:szCs w:val="23"/>
          <w:shd w:val="clear" w:color="auto" w:fill="FFFFFF"/>
        </w:rPr>
        <w:noBreakHyphen/>
        <w:t>5/6 (inventory and accounts); Burden of proof — preponderance of probabilities; Administrator’s power to sell estate property; Bona fide purchaser protected.</w:t>
      </w:r>
    </w:p>
    <w:tbl>
      <w:tblPr>
        <w:tblW w:w="1246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465"/>
      </w:tblGrid>
      <w:tr w:rsidR="00A30CE8" w:rsidRPr="00A30CE8" w14:paraId="55E71C2C" w14:textId="77777777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4" w:space="0" w:color="DEE2E6"/>
              <w:right w:val="single" w:sz="2" w:space="0" w:color="auto"/>
            </w:tcBorders>
            <w:shd w:val="clear" w:color="auto" w:fill="FFFFFF"/>
            <w:noWrap/>
            <w:vAlign w:val="center"/>
            <w:hideMark/>
          </w:tcPr>
          <w:p w14:paraId="294EFA5A" w14:textId="77777777" w:rsidR="00A30CE8" w:rsidRPr="00A30CE8" w:rsidRDefault="00A30CE8" w:rsidP="00A30CE8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val="en-TZ" w:eastAsia="en-TZ"/>
                <w14:ligatures w14:val="none"/>
              </w:rPr>
            </w:pPr>
            <w:r w:rsidRPr="00A30CE8"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val="en-TZ" w:eastAsia="en-TZ"/>
                <w14:ligatures w14:val="none"/>
              </w:rPr>
              <w:t>27 March 2026</w:t>
            </w:r>
          </w:p>
        </w:tc>
      </w:tr>
      <w:tr w:rsidR="00A30CE8" w:rsidRPr="00A30CE8" w14:paraId="4915457B" w14:textId="77777777" w:rsidTr="00A30CE8">
        <w:tc>
          <w:tcPr>
            <w:tcW w:w="12465" w:type="dxa"/>
            <w:tcBorders>
              <w:top w:val="single" w:sz="2" w:space="0" w:color="auto"/>
              <w:left w:val="single" w:sz="2" w:space="0" w:color="auto"/>
              <w:bottom w:val="single" w:sz="4" w:space="0" w:color="DEE2E6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1E3096C8" w14:textId="77777777" w:rsidR="00A30CE8" w:rsidRPr="00A30CE8" w:rsidRDefault="00A30CE8" w:rsidP="00A30CE8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val="en-TZ" w:eastAsia="en-TZ"/>
                <w14:ligatures w14:val="none"/>
              </w:rPr>
            </w:pPr>
            <w:hyperlink r:id="rId18" w:history="1">
              <w:r w:rsidRPr="00A30CE8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>Amina Yasini Juma vs Hussein Yasini Juma and Others (Land Case No. 25699 of 2025) [2026] TZHC 1047 (27 March 2026)</w:t>
              </w:r>
            </w:hyperlink>
          </w:p>
        </w:tc>
      </w:tr>
    </w:tbl>
    <w:p w14:paraId="63FFD8DA" w14:textId="77777777" w:rsidR="00E046F1" w:rsidRPr="009F0D9B" w:rsidRDefault="00A30CE8" w:rsidP="009F0D9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Segoe UI" w:hAnsi="Segoe UI" w:cs="Segoe UI"/>
          <w:color w:val="212529"/>
          <w:sz w:val="23"/>
          <w:szCs w:val="23"/>
          <w:shd w:val="clear" w:color="auto" w:fill="FFFFFF"/>
        </w:rPr>
        <w:t>Letters of administration granted for an intestate estate where applicant satisfied statutory requirements and no caveat opposed the application.</w:t>
      </w:r>
      <w:r w:rsidRPr="00A30CE8">
        <w:rPr>
          <w:rFonts w:ascii="Segoe UI" w:hAnsi="Segoe UI" w:cs="Segoe UI"/>
          <w:i/>
          <w:iCs/>
          <w:color w:val="212529"/>
          <w:sz w:val="23"/>
          <w:szCs w:val="23"/>
          <w:shd w:val="clear" w:color="auto" w:fill="FFFFFF"/>
        </w:rPr>
        <w:t xml:space="preserve"> </w:t>
      </w:r>
      <w:r>
        <w:rPr>
          <w:rFonts w:ascii="Segoe UI" w:hAnsi="Segoe UI" w:cs="Segoe UI"/>
          <w:i/>
          <w:iCs/>
          <w:color w:val="212529"/>
          <w:sz w:val="23"/>
          <w:szCs w:val="23"/>
          <w:shd w:val="clear" w:color="auto" w:fill="FFFFFF"/>
        </w:rPr>
        <w:t>Grant of letters of administration — Intestacy — Absence of will — Proper citation and absence of caveat — Oath and sureties — Filing of inventory (6 months) and account (12 months) — Section 107(</w:t>
      </w:r>
      <w:proofErr w:type="gramStart"/>
      <w:r>
        <w:rPr>
          <w:rFonts w:ascii="Segoe UI" w:hAnsi="Segoe UI" w:cs="Segoe UI"/>
          <w:i/>
          <w:iCs/>
          <w:color w:val="212529"/>
          <w:sz w:val="23"/>
          <w:szCs w:val="23"/>
          <w:shd w:val="clear" w:color="auto" w:fill="FFFFFF"/>
        </w:rPr>
        <w:t>1)&amp;</w:t>
      </w:r>
      <w:proofErr w:type="gramEnd"/>
      <w:r>
        <w:rPr>
          <w:rFonts w:ascii="Segoe UI" w:hAnsi="Segoe UI" w:cs="Segoe UI"/>
          <w:i/>
          <w:iCs/>
          <w:color w:val="212529"/>
          <w:sz w:val="23"/>
          <w:szCs w:val="23"/>
          <w:shd w:val="clear" w:color="auto" w:fill="FFFFFF"/>
        </w:rPr>
        <w:t>(2), Cap.352 R.E.2023.</w:t>
      </w:r>
    </w:p>
    <w:tbl>
      <w:tblPr>
        <w:tblW w:w="1246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465"/>
      </w:tblGrid>
      <w:tr w:rsidR="00E046F1" w:rsidRPr="00E046F1" w14:paraId="4F8D9BD0" w14:textId="77777777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4" w:space="0" w:color="DEE2E6"/>
              <w:right w:val="single" w:sz="2" w:space="0" w:color="auto"/>
            </w:tcBorders>
            <w:shd w:val="clear" w:color="auto" w:fill="FFFFFF"/>
            <w:noWrap/>
            <w:vAlign w:val="center"/>
            <w:hideMark/>
          </w:tcPr>
          <w:p w14:paraId="692F1D8D" w14:textId="77777777" w:rsidR="00E046F1" w:rsidRPr="00E046F1" w:rsidRDefault="00E046F1" w:rsidP="00E046F1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val="en-TZ" w:eastAsia="en-TZ"/>
                <w14:ligatures w14:val="none"/>
              </w:rPr>
            </w:pPr>
            <w:r w:rsidRPr="00E046F1"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val="en-TZ" w:eastAsia="en-TZ"/>
                <w14:ligatures w14:val="none"/>
              </w:rPr>
              <w:br/>
            </w:r>
          </w:p>
        </w:tc>
      </w:tr>
      <w:tr w:rsidR="00E046F1" w:rsidRPr="00E046F1" w14:paraId="2B922CC7" w14:textId="77777777" w:rsidTr="00DE3A41">
        <w:tc>
          <w:tcPr>
            <w:tcW w:w="12465" w:type="dxa"/>
            <w:tcBorders>
              <w:top w:val="single" w:sz="2" w:space="0" w:color="auto"/>
              <w:left w:val="single" w:sz="2" w:space="0" w:color="auto"/>
              <w:bottom w:val="single" w:sz="4" w:space="0" w:color="DEE2E6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069F627E" w14:textId="77777777" w:rsidR="00E046F1" w:rsidRPr="00E046F1" w:rsidRDefault="00E046F1" w:rsidP="00E046F1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val="en-TZ" w:eastAsia="en-TZ"/>
                <w14:ligatures w14:val="none"/>
              </w:rPr>
            </w:pPr>
            <w:hyperlink r:id="rId19" w:history="1">
              <w:r w:rsidRPr="00E046F1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 xml:space="preserve">Barnabas Idd </w:t>
              </w:r>
              <w:proofErr w:type="spellStart"/>
              <w:r w:rsidRPr="00E046F1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>Godigodi</w:t>
              </w:r>
              <w:proofErr w:type="spellEnd"/>
              <w:r w:rsidRPr="00E046F1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 xml:space="preserve"> vs Estate of Late Theresia Barnabas </w:t>
              </w:r>
              <w:proofErr w:type="spellStart"/>
              <w:r w:rsidRPr="00E046F1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>Mgonda</w:t>
              </w:r>
              <w:proofErr w:type="spellEnd"/>
              <w:r w:rsidRPr="00E046F1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 xml:space="preserve"> (Probate and Administration Cause No. 31202 of 2025) [2026] TZHC 1029 (27 March 2026)</w:t>
              </w:r>
            </w:hyperlink>
          </w:p>
        </w:tc>
      </w:tr>
    </w:tbl>
    <w:p w14:paraId="64B4D59E" w14:textId="77777777" w:rsidR="00DE3A41" w:rsidRPr="009F0D9B" w:rsidRDefault="00DE3A41" w:rsidP="009F0D9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Segoe UI" w:hAnsi="Segoe UI" w:cs="Segoe UI"/>
          <w:color w:val="212529"/>
          <w:sz w:val="23"/>
          <w:szCs w:val="23"/>
          <w:shd w:val="clear" w:color="auto" w:fill="FFFFFF"/>
        </w:rPr>
        <w:t>Suo motu revision improperly quashed Primary Court probate proceedings; preliminary objection must be decided first.</w:t>
      </w:r>
      <w:r w:rsidRPr="00DE3A41">
        <w:rPr>
          <w:rFonts w:ascii="Segoe UI" w:hAnsi="Segoe UI" w:cs="Segoe UI"/>
          <w:i/>
          <w:iCs/>
          <w:color w:val="212529"/>
          <w:sz w:val="23"/>
          <w:szCs w:val="23"/>
          <w:shd w:val="clear" w:color="auto" w:fill="FFFFFF"/>
        </w:rPr>
        <w:t xml:space="preserve"> </w:t>
      </w:r>
      <w:r>
        <w:rPr>
          <w:rFonts w:ascii="Segoe UI" w:hAnsi="Segoe UI" w:cs="Segoe UI"/>
          <w:i/>
          <w:iCs/>
          <w:color w:val="212529"/>
          <w:sz w:val="23"/>
          <w:szCs w:val="23"/>
          <w:shd w:val="clear" w:color="auto" w:fill="FFFFFF"/>
        </w:rPr>
        <w:t>Preliminary objection to be determined before substantive hearing; Suo motu revision — supervisory powers limited; Judicial discretion must be exercised judicially; Quashing of proceedings requires manifest injustice or jurisdictional error.</w:t>
      </w:r>
    </w:p>
    <w:tbl>
      <w:tblPr>
        <w:tblW w:w="1246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465"/>
      </w:tblGrid>
      <w:tr w:rsidR="00DE3A41" w:rsidRPr="00DE3A41" w14:paraId="656FB1FD" w14:textId="77777777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4" w:space="0" w:color="DEE2E6"/>
              <w:right w:val="single" w:sz="2" w:space="0" w:color="auto"/>
            </w:tcBorders>
            <w:shd w:val="clear" w:color="auto" w:fill="FFFFFF"/>
            <w:noWrap/>
            <w:vAlign w:val="center"/>
            <w:hideMark/>
          </w:tcPr>
          <w:p w14:paraId="087401A4" w14:textId="77777777" w:rsidR="00DE3A41" w:rsidRPr="00DE3A41" w:rsidRDefault="00DE3A41" w:rsidP="00DE3A4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val="en-TZ" w:eastAsia="en-TZ"/>
                <w14:ligatures w14:val="none"/>
              </w:rPr>
            </w:pPr>
            <w:r w:rsidRPr="00DE3A41"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val="en-TZ" w:eastAsia="en-TZ"/>
                <w14:ligatures w14:val="none"/>
              </w:rPr>
              <w:br/>
              <w:t>27 March 2026</w:t>
            </w:r>
          </w:p>
        </w:tc>
      </w:tr>
      <w:tr w:rsidR="00DE3A41" w:rsidRPr="00DE3A41" w14:paraId="3235A188" w14:textId="77777777" w:rsidTr="00B24221">
        <w:tc>
          <w:tcPr>
            <w:tcW w:w="12465" w:type="dxa"/>
            <w:tcBorders>
              <w:top w:val="single" w:sz="2" w:space="0" w:color="auto"/>
              <w:left w:val="single" w:sz="2" w:space="0" w:color="auto"/>
              <w:bottom w:val="single" w:sz="4" w:space="0" w:color="DEE2E6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090C26B5" w14:textId="77777777" w:rsidR="00DE3A41" w:rsidRPr="00DE3A41" w:rsidRDefault="00DE3A41" w:rsidP="00DE3A41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val="en-TZ" w:eastAsia="en-TZ"/>
                <w14:ligatures w14:val="none"/>
              </w:rPr>
            </w:pPr>
            <w:hyperlink r:id="rId20" w:history="1">
              <w:r w:rsidRPr="00DE3A41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 xml:space="preserve">Elen James Madilo and Another vs </w:t>
              </w:r>
              <w:proofErr w:type="spellStart"/>
              <w:r w:rsidRPr="00DE3A41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>Nyalobi</w:t>
              </w:r>
              <w:proofErr w:type="spellEnd"/>
              <w:r w:rsidRPr="00DE3A41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 xml:space="preserve"> </w:t>
              </w:r>
              <w:proofErr w:type="spellStart"/>
              <w:r w:rsidRPr="00DE3A41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>Mholu</w:t>
              </w:r>
              <w:proofErr w:type="spellEnd"/>
              <w:r w:rsidRPr="00DE3A41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 xml:space="preserve"> </w:t>
              </w:r>
              <w:proofErr w:type="spellStart"/>
              <w:r w:rsidRPr="00DE3A41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>Nkwimba</w:t>
              </w:r>
              <w:proofErr w:type="spellEnd"/>
              <w:r w:rsidRPr="00DE3A41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 xml:space="preserve"> and Another (Civil Appeal No. 31296 of 2026) [2026] TZHC 1082 (27 March 2026)</w:t>
              </w:r>
            </w:hyperlink>
          </w:p>
        </w:tc>
      </w:tr>
    </w:tbl>
    <w:p w14:paraId="0117AA73" w14:textId="77777777" w:rsidR="00B24221" w:rsidRPr="009F0D9B" w:rsidRDefault="00B24221" w:rsidP="009F0D9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Segoe UI" w:hAnsi="Segoe UI" w:cs="Segoe UI"/>
          <w:color w:val="212529"/>
          <w:sz w:val="23"/>
          <w:szCs w:val="23"/>
          <w:shd w:val="clear" w:color="auto" w:fill="FFFFFF"/>
        </w:rPr>
        <w:t>Whether polygamy and customary practices displace Christian personal law for probate jurisdiction.</w:t>
      </w:r>
      <w:r w:rsidRPr="00B24221">
        <w:rPr>
          <w:rFonts w:ascii="Segoe UI" w:hAnsi="Segoe UI" w:cs="Segoe UI"/>
          <w:i/>
          <w:iCs/>
          <w:color w:val="212529"/>
          <w:sz w:val="23"/>
          <w:szCs w:val="23"/>
          <w:shd w:val="clear" w:color="auto" w:fill="FFFFFF"/>
        </w:rPr>
        <w:t xml:space="preserve"> </w:t>
      </w:r>
      <w:r>
        <w:rPr>
          <w:rFonts w:ascii="Segoe UI" w:hAnsi="Segoe UI" w:cs="Segoe UI"/>
          <w:i/>
          <w:iCs/>
          <w:color w:val="212529"/>
          <w:sz w:val="23"/>
          <w:szCs w:val="23"/>
          <w:shd w:val="clear" w:color="auto" w:fill="FFFFFF"/>
        </w:rPr>
        <w:t>Christianity versus customary law; polygamy as indicium of reversion to pagan mode of life; evaluation of documentary and attendance evidence; restraint on disturbing concurrent findings on second appea</w:t>
      </w:r>
      <w:r>
        <w:rPr>
          <w:rFonts w:ascii="Segoe UI" w:hAnsi="Segoe UI" w:cs="Segoe UI"/>
          <w:i/>
          <w:iCs/>
          <w:color w:val="212529"/>
          <w:sz w:val="23"/>
          <w:szCs w:val="23"/>
          <w:shd w:val="clear" w:color="auto" w:fill="FFFFFF"/>
        </w:rPr>
        <w:t xml:space="preserve">l. </w:t>
      </w:r>
    </w:p>
    <w:tbl>
      <w:tblPr>
        <w:tblW w:w="1246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465"/>
      </w:tblGrid>
      <w:tr w:rsidR="00B24221" w:rsidRPr="00B24221" w14:paraId="129204C1" w14:textId="77777777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4" w:space="0" w:color="DEE2E6"/>
              <w:right w:val="single" w:sz="2" w:space="0" w:color="auto"/>
            </w:tcBorders>
            <w:shd w:val="clear" w:color="auto" w:fill="FFFFFF"/>
            <w:noWrap/>
            <w:vAlign w:val="center"/>
            <w:hideMark/>
          </w:tcPr>
          <w:p w14:paraId="03F2BEE5" w14:textId="77777777" w:rsidR="00B24221" w:rsidRPr="00B24221" w:rsidRDefault="00B24221" w:rsidP="00B2422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val="en-TZ" w:eastAsia="en-TZ"/>
                <w14:ligatures w14:val="none"/>
              </w:rPr>
            </w:pPr>
            <w:r w:rsidRPr="00B24221"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val="en-TZ" w:eastAsia="en-TZ"/>
                <w14:ligatures w14:val="none"/>
              </w:rPr>
              <w:br/>
              <w:t>27 March 2026</w:t>
            </w:r>
          </w:p>
        </w:tc>
      </w:tr>
      <w:tr w:rsidR="00B24221" w:rsidRPr="00B24221" w14:paraId="02F28CF0" w14:textId="77777777" w:rsidTr="00083DF4">
        <w:tc>
          <w:tcPr>
            <w:tcW w:w="12465" w:type="dxa"/>
            <w:tcBorders>
              <w:top w:val="single" w:sz="2" w:space="0" w:color="auto"/>
              <w:left w:val="single" w:sz="2" w:space="0" w:color="auto"/>
              <w:bottom w:val="single" w:sz="4" w:space="0" w:color="DEE2E6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06CD0983" w14:textId="77777777" w:rsidR="00B24221" w:rsidRPr="00B24221" w:rsidRDefault="00B24221" w:rsidP="00B24221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val="en-TZ" w:eastAsia="en-TZ"/>
                <w14:ligatures w14:val="none"/>
              </w:rPr>
            </w:pPr>
            <w:hyperlink r:id="rId21" w:history="1">
              <w:r w:rsidRPr="00B24221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 xml:space="preserve">Neema </w:t>
              </w:r>
              <w:proofErr w:type="spellStart"/>
              <w:r w:rsidRPr="00B24221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>Masanja</w:t>
              </w:r>
              <w:proofErr w:type="spellEnd"/>
              <w:r w:rsidRPr="00B24221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 xml:space="preserve"> </w:t>
              </w:r>
              <w:proofErr w:type="spellStart"/>
              <w:r w:rsidRPr="00B24221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>Kuya</w:t>
              </w:r>
              <w:proofErr w:type="spellEnd"/>
              <w:r w:rsidRPr="00B24221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 xml:space="preserve"> vs </w:t>
              </w:r>
              <w:proofErr w:type="spellStart"/>
              <w:r w:rsidRPr="00B24221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>Happyness</w:t>
              </w:r>
              <w:proofErr w:type="spellEnd"/>
              <w:r w:rsidRPr="00B24221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 xml:space="preserve"> Charles Manoni and Another (PC. CIVIL APPEAL NO. 32307 OF 2025) [2026] TZHC 1083 (27 March 2026)</w:t>
              </w:r>
            </w:hyperlink>
          </w:p>
        </w:tc>
      </w:tr>
    </w:tbl>
    <w:p w14:paraId="521C129A" w14:textId="77777777" w:rsidR="00083DF4" w:rsidRPr="009F0D9B" w:rsidRDefault="00083DF4" w:rsidP="009F0D9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Segoe UI" w:hAnsi="Segoe UI" w:cs="Segoe UI"/>
          <w:color w:val="212529"/>
          <w:sz w:val="23"/>
          <w:szCs w:val="23"/>
          <w:shd w:val="clear" w:color="auto" w:fill="FFFFFF"/>
        </w:rPr>
        <w:lastRenderedPageBreak/>
        <w:t xml:space="preserve">The court granted letters of administration after finding full compliance with probate rules and directed opening a Special </w:t>
      </w:r>
      <w:proofErr w:type="spellStart"/>
      <w:r>
        <w:rPr>
          <w:rFonts w:ascii="Segoe UI" w:hAnsi="Segoe UI" w:cs="Segoe UI"/>
          <w:color w:val="212529"/>
          <w:sz w:val="23"/>
          <w:szCs w:val="23"/>
          <w:shd w:val="clear" w:color="auto" w:fill="FFFFFF"/>
        </w:rPr>
        <w:t>Mirathi</w:t>
      </w:r>
      <w:proofErr w:type="spellEnd"/>
      <w:r>
        <w:rPr>
          <w:rFonts w:ascii="Segoe UI" w:hAnsi="Segoe UI" w:cs="Segoe UI"/>
          <w:color w:val="212529"/>
          <w:sz w:val="23"/>
          <w:szCs w:val="23"/>
          <w:shd w:val="clear" w:color="auto" w:fill="FFFFFF"/>
        </w:rPr>
        <w:t xml:space="preserve"> Account.</w:t>
      </w:r>
      <w:r w:rsidRPr="00083DF4">
        <w:rPr>
          <w:rFonts w:ascii="Segoe UI" w:hAnsi="Segoe UI" w:cs="Segoe UI"/>
          <w:i/>
          <w:iCs/>
          <w:color w:val="212529"/>
          <w:sz w:val="23"/>
          <w:szCs w:val="23"/>
          <w:shd w:val="clear" w:color="auto" w:fill="FFFFFF"/>
        </w:rPr>
        <w:t xml:space="preserve"> </w:t>
      </w:r>
      <w:r>
        <w:rPr>
          <w:rFonts w:ascii="Segoe UI" w:hAnsi="Segoe UI" w:cs="Segoe UI"/>
          <w:i/>
          <w:iCs/>
          <w:color w:val="212529"/>
          <w:sz w:val="23"/>
          <w:szCs w:val="23"/>
          <w:shd w:val="clear" w:color="auto" w:fill="FFFFFF"/>
        </w:rPr>
        <w:t xml:space="preserve">Letters of administration — Compliance with s.56 PAEA and Rule 39 Probate Rules — Death certificate and supporting affidavits — Publication/citation under Rules 73 and 76 — No caveat lodged — Duty to open Special </w:t>
      </w:r>
      <w:proofErr w:type="spellStart"/>
      <w:r>
        <w:rPr>
          <w:rFonts w:ascii="Segoe UI" w:hAnsi="Segoe UI" w:cs="Segoe UI"/>
          <w:i/>
          <w:iCs/>
          <w:color w:val="212529"/>
          <w:sz w:val="23"/>
          <w:szCs w:val="23"/>
          <w:shd w:val="clear" w:color="auto" w:fill="FFFFFF"/>
        </w:rPr>
        <w:t>Mirathi</w:t>
      </w:r>
      <w:proofErr w:type="spellEnd"/>
      <w:r>
        <w:rPr>
          <w:rFonts w:ascii="Segoe UI" w:hAnsi="Segoe UI" w:cs="Segoe UI"/>
          <w:i/>
          <w:iCs/>
          <w:color w:val="212529"/>
          <w:sz w:val="23"/>
          <w:szCs w:val="23"/>
          <w:shd w:val="clear" w:color="auto" w:fill="FFFFFF"/>
        </w:rPr>
        <w:t xml:space="preserve"> Account (Rule 105A) — Filing inventory and final accounts</w:t>
      </w:r>
    </w:p>
    <w:tbl>
      <w:tblPr>
        <w:tblW w:w="1246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465"/>
      </w:tblGrid>
      <w:tr w:rsidR="00083DF4" w:rsidRPr="00083DF4" w14:paraId="6D411A1A" w14:textId="77777777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4" w:space="0" w:color="DEE2E6"/>
              <w:right w:val="single" w:sz="2" w:space="0" w:color="auto"/>
            </w:tcBorders>
            <w:shd w:val="clear" w:color="auto" w:fill="FFFFFF"/>
            <w:noWrap/>
            <w:vAlign w:val="center"/>
            <w:hideMark/>
          </w:tcPr>
          <w:p w14:paraId="1A0281FA" w14:textId="77777777" w:rsidR="00083DF4" w:rsidRPr="00083DF4" w:rsidRDefault="00083DF4" w:rsidP="00083DF4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val="en-TZ" w:eastAsia="en-TZ"/>
                <w14:ligatures w14:val="none"/>
              </w:rPr>
            </w:pPr>
            <w:r w:rsidRPr="00083DF4"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val="en-TZ" w:eastAsia="en-TZ"/>
                <w14:ligatures w14:val="none"/>
              </w:rPr>
              <w:br/>
              <w:t>26 March 2026</w:t>
            </w:r>
          </w:p>
        </w:tc>
      </w:tr>
      <w:tr w:rsidR="00083DF4" w:rsidRPr="00083DF4" w14:paraId="2D04362E" w14:textId="77777777" w:rsidTr="00450E76">
        <w:tc>
          <w:tcPr>
            <w:tcW w:w="12465" w:type="dxa"/>
            <w:tcBorders>
              <w:top w:val="single" w:sz="2" w:space="0" w:color="auto"/>
              <w:left w:val="single" w:sz="2" w:space="0" w:color="auto"/>
              <w:bottom w:val="single" w:sz="4" w:space="0" w:color="DEE2E6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75933FD1" w14:textId="77777777" w:rsidR="00083DF4" w:rsidRPr="00083DF4" w:rsidRDefault="00083DF4" w:rsidP="00083DF4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val="en-TZ" w:eastAsia="en-TZ"/>
                <w14:ligatures w14:val="none"/>
              </w:rPr>
            </w:pPr>
            <w:hyperlink r:id="rId22" w:history="1">
              <w:r w:rsidRPr="00083DF4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 xml:space="preserve">Christopher </w:t>
              </w:r>
              <w:proofErr w:type="spellStart"/>
              <w:r w:rsidRPr="00083DF4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>Semvua</w:t>
              </w:r>
              <w:proofErr w:type="spellEnd"/>
              <w:r w:rsidRPr="00083DF4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 xml:space="preserve"> </w:t>
              </w:r>
              <w:proofErr w:type="spellStart"/>
              <w:r w:rsidRPr="00083DF4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>Chagama</w:t>
              </w:r>
              <w:proofErr w:type="spellEnd"/>
              <w:r w:rsidRPr="00083DF4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 xml:space="preserve"> vs Estate of Living </w:t>
              </w:r>
              <w:proofErr w:type="spellStart"/>
              <w:r w:rsidRPr="00083DF4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>Semvua</w:t>
              </w:r>
              <w:proofErr w:type="spellEnd"/>
              <w:r w:rsidRPr="00083DF4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 xml:space="preserve"> </w:t>
              </w:r>
              <w:proofErr w:type="spellStart"/>
              <w:r w:rsidRPr="00083DF4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>Chagama</w:t>
              </w:r>
              <w:proofErr w:type="spellEnd"/>
              <w:r w:rsidRPr="00083DF4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 xml:space="preserve"> (Probate and Administration Cause No. 4034 of 2026) [2026] TZHC 1093 (26 March 2026)</w:t>
              </w:r>
            </w:hyperlink>
          </w:p>
        </w:tc>
      </w:tr>
    </w:tbl>
    <w:p w14:paraId="7D89CAF5" w14:textId="77777777" w:rsidR="00450E76" w:rsidRPr="009F0D9B" w:rsidRDefault="00450E76" w:rsidP="009F0D9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Segoe UI" w:hAnsi="Segoe UI" w:cs="Segoe UI"/>
          <w:color w:val="212529"/>
          <w:sz w:val="23"/>
          <w:szCs w:val="23"/>
          <w:shd w:val="clear" w:color="auto" w:fill="FFFFFF"/>
        </w:rPr>
        <w:t>Revision court improperly set aside letters of administration; Primary Court's grant upheld for proper citation and hearing.</w:t>
      </w:r>
      <w:r w:rsidRPr="00450E76">
        <w:rPr>
          <w:rFonts w:ascii="Segoe UI" w:hAnsi="Segoe UI" w:cs="Segoe UI"/>
          <w:i/>
          <w:iCs/>
          <w:color w:val="212529"/>
          <w:sz w:val="23"/>
          <w:szCs w:val="23"/>
          <w:shd w:val="clear" w:color="auto" w:fill="FFFFFF"/>
        </w:rPr>
        <w:t xml:space="preserve"> </w:t>
      </w:r>
      <w:r>
        <w:rPr>
          <w:rFonts w:ascii="Segoe UI" w:hAnsi="Segoe UI" w:cs="Segoe UI"/>
          <w:i/>
          <w:iCs/>
          <w:color w:val="212529"/>
          <w:sz w:val="23"/>
          <w:szCs w:val="23"/>
          <w:shd w:val="clear" w:color="auto" w:fill="FFFFFF"/>
        </w:rPr>
        <w:t>Revocation of letters of administration vs caveat – Compliance with general citation under Primary Courts (Administration of Estates) Rules G.N. No.49/1971 (Rule 5(4), Rule 9) – Limits of revisional jurisdiction – Right to fair hearing in probate revision.</w:t>
      </w:r>
    </w:p>
    <w:tbl>
      <w:tblPr>
        <w:tblW w:w="1246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465"/>
      </w:tblGrid>
      <w:tr w:rsidR="00450E76" w:rsidRPr="00450E76" w14:paraId="60A260ED" w14:textId="77777777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4" w:space="0" w:color="DEE2E6"/>
              <w:right w:val="single" w:sz="2" w:space="0" w:color="auto"/>
            </w:tcBorders>
            <w:shd w:val="clear" w:color="auto" w:fill="FFFFFF"/>
            <w:noWrap/>
            <w:vAlign w:val="center"/>
            <w:hideMark/>
          </w:tcPr>
          <w:p w14:paraId="2A3C269F" w14:textId="77777777" w:rsidR="00450E76" w:rsidRPr="00450E76" w:rsidRDefault="00450E76" w:rsidP="00450E76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val="en-TZ" w:eastAsia="en-TZ"/>
                <w14:ligatures w14:val="none"/>
              </w:rPr>
            </w:pPr>
            <w:r w:rsidRPr="00450E76"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val="en-TZ" w:eastAsia="en-TZ"/>
                <w14:ligatures w14:val="none"/>
              </w:rPr>
              <w:br/>
              <w:t>26 March 2026</w:t>
            </w:r>
          </w:p>
        </w:tc>
      </w:tr>
      <w:tr w:rsidR="00450E76" w:rsidRPr="00450E76" w14:paraId="0AA309B7" w14:textId="77777777">
        <w:tc>
          <w:tcPr>
            <w:tcW w:w="9349" w:type="dxa"/>
            <w:tcBorders>
              <w:top w:val="single" w:sz="2" w:space="0" w:color="auto"/>
              <w:left w:val="single" w:sz="2" w:space="0" w:color="auto"/>
              <w:bottom w:val="single" w:sz="4" w:space="0" w:color="DEE2E6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506D42A8" w14:textId="77777777" w:rsidR="00450E76" w:rsidRPr="00450E76" w:rsidRDefault="00450E76" w:rsidP="00450E76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val="en-TZ" w:eastAsia="en-TZ"/>
                <w14:ligatures w14:val="none"/>
              </w:rPr>
            </w:pPr>
            <w:hyperlink r:id="rId23" w:history="1">
              <w:proofErr w:type="spellStart"/>
              <w:r w:rsidRPr="00450E76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>Malkiadi</w:t>
              </w:r>
              <w:proofErr w:type="spellEnd"/>
              <w:r w:rsidRPr="00450E76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 xml:space="preserve"> Simon Paulo vs Daniel Ami </w:t>
              </w:r>
              <w:proofErr w:type="spellStart"/>
              <w:r w:rsidRPr="00450E76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>Manimo</w:t>
              </w:r>
              <w:proofErr w:type="spellEnd"/>
              <w:r w:rsidRPr="00450E76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 xml:space="preserve"> (Civil Appeal No. 23493 of 2025) [2026] TZHC 1009 (26 March 2026)</w:t>
              </w:r>
            </w:hyperlink>
          </w:p>
        </w:tc>
      </w:tr>
    </w:tbl>
    <w:p w14:paraId="51A42AD9" w14:textId="26289285" w:rsidR="00650AEF" w:rsidRPr="009F0D9B" w:rsidRDefault="00650AEF" w:rsidP="009F0D9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US"/>
        </w:rPr>
      </w:pPr>
    </w:p>
    <w:sectPr w:rsidR="00650AEF" w:rsidRPr="009F0D9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4B6917"/>
    <w:multiLevelType w:val="hybridMultilevel"/>
    <w:tmpl w:val="C422F4AA"/>
    <w:lvl w:ilvl="0" w:tplc="EC08806A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AD1702"/>
    <w:multiLevelType w:val="hybridMultilevel"/>
    <w:tmpl w:val="534A9A6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7499281">
    <w:abstractNumId w:val="1"/>
  </w:num>
  <w:num w:numId="2" w16cid:durableId="10240973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78BA"/>
    <w:rsid w:val="00050FBA"/>
    <w:rsid w:val="00083DF4"/>
    <w:rsid w:val="002534F8"/>
    <w:rsid w:val="004504DE"/>
    <w:rsid w:val="00450E76"/>
    <w:rsid w:val="004E1759"/>
    <w:rsid w:val="005631A9"/>
    <w:rsid w:val="005C7FE6"/>
    <w:rsid w:val="005F030F"/>
    <w:rsid w:val="00647DD7"/>
    <w:rsid w:val="00650AEF"/>
    <w:rsid w:val="006C2423"/>
    <w:rsid w:val="008714D1"/>
    <w:rsid w:val="008E7AD5"/>
    <w:rsid w:val="009E1854"/>
    <w:rsid w:val="009F0D9B"/>
    <w:rsid w:val="00A30CE8"/>
    <w:rsid w:val="00B01D88"/>
    <w:rsid w:val="00B24221"/>
    <w:rsid w:val="00D378BA"/>
    <w:rsid w:val="00D7623E"/>
    <w:rsid w:val="00DE3A41"/>
    <w:rsid w:val="00DF7B07"/>
    <w:rsid w:val="00E046F1"/>
    <w:rsid w:val="00ED0A00"/>
    <w:rsid w:val="00EF176E"/>
    <w:rsid w:val="00F34E58"/>
    <w:rsid w:val="00F83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T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83834F"/>
  <w15:chartTrackingRefBased/>
  <w15:docId w15:val="{F1E911D4-DA7E-4B2E-B9EB-32D04B519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T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378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78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78B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78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78B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78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78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78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78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78B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78B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78B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78B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78B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78B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78B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78B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78B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78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78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78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78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78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78B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78B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78B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78B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78B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78BA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650AE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anzlii.org/en/akn/tz/judgment/tzca/2026/225/eng@2026-03-03" TargetMode="External"/><Relationship Id="rId13" Type="http://schemas.openxmlformats.org/officeDocument/2006/relationships/hyperlink" Target="https://tanzlii.org/en/akn/tz/judgment/tzca/2026/27/eng@2026-02-03" TargetMode="External"/><Relationship Id="rId18" Type="http://schemas.openxmlformats.org/officeDocument/2006/relationships/hyperlink" Target="https://tanzlii.org/en/akn/tz/judgment/tzhc/2026/1047/eng@2026-03-27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tanzlii.org/en/akn/tz/judgment/tzhc/2026/1083/eng@2026-03-27" TargetMode="External"/><Relationship Id="rId7" Type="http://schemas.openxmlformats.org/officeDocument/2006/relationships/hyperlink" Target="https://tanzlii.org/en/akn/tz/judgment/tzca/2026/195/eng@2026-03-03" TargetMode="External"/><Relationship Id="rId12" Type="http://schemas.openxmlformats.org/officeDocument/2006/relationships/hyperlink" Target="https://tanzlii.org/en/akn/tz/judgment/tzca/2026/44/eng@2026-02-10" TargetMode="External"/><Relationship Id="rId17" Type="http://schemas.openxmlformats.org/officeDocument/2006/relationships/hyperlink" Target="https://tanzlii.org/en/akn/tz/judgment/tzhc/2026/1128/eng@2026-03-30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tanzlii.org/en/akn/tz/judgment/tzhc/2026/1165/eng@2026-03-30" TargetMode="External"/><Relationship Id="rId20" Type="http://schemas.openxmlformats.org/officeDocument/2006/relationships/hyperlink" Target="https://tanzlii.org/en/akn/tz/judgment/tzhc/2026/1082/eng@2026-03-27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tanzlii.org/en/akn/tz/judgment/tzca/2026/241/eng@2026-03-05" TargetMode="External"/><Relationship Id="rId11" Type="http://schemas.openxmlformats.org/officeDocument/2006/relationships/hyperlink" Target="https://tanzlii.org/en/akn/tz/judgment/tzca/2026/153/eng@2026-02-26" TargetMode="External"/><Relationship Id="rId24" Type="http://schemas.openxmlformats.org/officeDocument/2006/relationships/fontTable" Target="fontTable.xml"/><Relationship Id="rId5" Type="http://schemas.openxmlformats.org/officeDocument/2006/relationships/hyperlink" Target="https://tanzlii.org/en/akn/tz/judgment/tzca/2026/333/eng@2026-03-23" TargetMode="External"/><Relationship Id="rId15" Type="http://schemas.openxmlformats.org/officeDocument/2006/relationships/hyperlink" Target="https://tanzlii.org/en/akn/tz/judgment/tzhc/2026/1154/eng@2026-03-31" TargetMode="External"/><Relationship Id="rId23" Type="http://schemas.openxmlformats.org/officeDocument/2006/relationships/hyperlink" Target="https://tanzlii.org/en/akn/tz/judgment/tzhc/2026/1009/eng@2026-03-26" TargetMode="External"/><Relationship Id="rId10" Type="http://schemas.openxmlformats.org/officeDocument/2006/relationships/hyperlink" Target="https://tanzlii.org/en/akn/tz/judgment/tzca/2026/135/eng@2026-02-26" TargetMode="External"/><Relationship Id="rId19" Type="http://schemas.openxmlformats.org/officeDocument/2006/relationships/hyperlink" Target="https://tanzlii.org/en/akn/tz/judgment/tzhc/2026/1029/eng@2026-03-2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tanzlii.org/en/akn/tz/judgment/tzca/2026/159/eng@2026-02-27" TargetMode="External"/><Relationship Id="rId14" Type="http://schemas.openxmlformats.org/officeDocument/2006/relationships/hyperlink" Target="https://tanzlii.org/en/akn/tz/judgment/tzhccomd/2026/20/eng@2026-02-11" TargetMode="External"/><Relationship Id="rId22" Type="http://schemas.openxmlformats.org/officeDocument/2006/relationships/hyperlink" Target="https://tanzlii.org/en/akn/tz/judgment/tzhc/2026/1093/eng@2026-03-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4</Pages>
  <Words>1433</Words>
  <Characters>8173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MANDELA</dc:creator>
  <cp:keywords/>
  <dc:description/>
  <cp:lastModifiedBy>MANDELA</cp:lastModifiedBy>
  <cp:revision>4</cp:revision>
  <dcterms:created xsi:type="dcterms:W3CDTF">2026-04-03T09:02:00Z</dcterms:created>
  <dcterms:modified xsi:type="dcterms:W3CDTF">2026-04-06T08:46:00Z</dcterms:modified>
</cp:coreProperties>
</file>