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E72D" w14:textId="77777777" w:rsidR="008B2A6A" w:rsidRPr="008B2A6A" w:rsidRDefault="008B2A6A" w:rsidP="008B2A6A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8B2A6A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Probate and Administration Act s.71 – administrators as representatives – competence of proceedings – proceedings must be against grantee in representative capacity – failure renders proceedings nullity; revisional jurisdiction s.4(2) AJA.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8B2A6A" w:rsidRPr="008B2A6A" w14:paraId="0A5D4119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73C291B8" w14:textId="77777777" w:rsidR="008B2A6A" w:rsidRPr="008B2A6A" w:rsidRDefault="008B2A6A" w:rsidP="008B2A6A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8B2A6A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26 February 2026</w:t>
            </w:r>
          </w:p>
        </w:tc>
      </w:tr>
      <w:tr w:rsidR="008B2A6A" w:rsidRPr="008B2A6A" w14:paraId="5E255CA2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6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971C4C" w14:textId="77777777" w:rsidR="008B2A6A" w:rsidRPr="008B2A6A" w:rsidRDefault="008B2A6A" w:rsidP="008B2A6A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8B2A6A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Eliminata Masinda &amp; Another vs Masweti Masinda &amp; Another (Civil Appeal No. 491 of 2023) [2026] TZCA 135 (26 February 2026)</w:t>
              </w:r>
            </w:hyperlink>
          </w:p>
        </w:tc>
      </w:tr>
    </w:tbl>
    <w:p w14:paraId="72960BDD" w14:textId="77777777" w:rsidR="008B2A6A" w:rsidRDefault="008B2A6A"/>
    <w:sectPr w:rsidR="008B2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6A"/>
    <w:rsid w:val="008B2A6A"/>
    <w:rsid w:val="00B1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CC38"/>
  <w15:chartTrackingRefBased/>
  <w15:docId w15:val="{BA3E94D9-46C3-4A58-9BF2-1DEBCD87E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A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A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A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A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A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A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A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A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A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A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A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ca/2026/135/eng@2026-02-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2026-04-07T13:48:00Z</dcterms:modified>
</cp:coreProperties>
</file>