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78EE4" w14:textId="77777777" w:rsidR="00AB2EEA" w:rsidRPr="00AB2EEA" w:rsidRDefault="00AB2EEA" w:rsidP="00AB2EEA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AB2EEA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 xml:space="preserve">Primary Court lacked jurisdiction to reopen concluded probate; revision lies with District Court, appeal dismissed. </w:t>
      </w:r>
      <w:r w:rsidRPr="00AB2EEA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jurisdiction – functus officio – Primary Courts (Administration of Estates) Rules, Rule 8(f) – Magistrates’ Courts Act s.22(1) – revisionary powers – preliminary objection – finality of litigation. 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AB2EEA" w:rsidRPr="00AB2EEA" w14:paraId="3CED29B0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4C2184B6" w14:textId="77777777" w:rsidR="00AB2EEA" w:rsidRPr="00AB2EEA" w:rsidRDefault="00AB2EEA" w:rsidP="00AB2EE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AB2EE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30 March 2026</w:t>
            </w:r>
          </w:p>
        </w:tc>
      </w:tr>
      <w:tr w:rsidR="00AB2EEA" w:rsidRPr="00AB2EEA" w14:paraId="4C440D87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650A2B" w14:textId="77777777" w:rsidR="00AB2EEA" w:rsidRPr="00AB2EEA" w:rsidRDefault="00AB2EEA" w:rsidP="00AB2EE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AB2EE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Mrisho Jumanne Mlewa vs Mwanaidi Ali Gwau (PC CIVIL APPEAL NO. 31018 OF 2025; Probate Appeal No. 22748of 2025; Probate No. 48 of 2012) [2026] TZHC 1165 (30 March 2026)</w:t>
              </w:r>
            </w:hyperlink>
          </w:p>
        </w:tc>
      </w:tr>
    </w:tbl>
    <w:p w14:paraId="0EE16269" w14:textId="77777777" w:rsidR="00AB2EEA" w:rsidRDefault="00AB2EEA"/>
    <w:sectPr w:rsidR="00AB2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EEA"/>
    <w:rsid w:val="00AB2EEA"/>
    <w:rsid w:val="00B1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FEC98"/>
  <w15:chartTrackingRefBased/>
  <w15:docId w15:val="{81F899F2-A3CF-4D1F-9BEB-8EE9925E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E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E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E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E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E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E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E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E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E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E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E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E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E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E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E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E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E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165/eng@2026-03-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2026-04-07T13:50:00Z</dcterms:modified>
</cp:coreProperties>
</file>