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67FDE" w14:textId="77777777" w:rsidR="00AF3492" w:rsidRPr="00AF3492" w:rsidRDefault="00AF3492" w:rsidP="00AF3492">
      <w:pPr>
        <w:numPr>
          <w:ilvl w:val="0"/>
          <w:numId w:val="1"/>
        </w:numPr>
        <w:spacing w:line="259" w:lineRule="auto"/>
        <w:contextualSpacing/>
        <w:rPr>
          <w:rFonts w:ascii="Times New Roman" w:eastAsia="Calibri" w:hAnsi="Times New Roman" w:cs="Times New Roman"/>
        </w:rPr>
      </w:pPr>
      <w:r w:rsidRPr="00AF3492">
        <w:rPr>
          <w:rFonts w:ascii="Segoe UI" w:eastAsia="Calibri" w:hAnsi="Segoe UI" w:cs="Segoe UI"/>
          <w:i/>
          <w:iCs/>
          <w:color w:val="212529"/>
          <w:sz w:val="23"/>
          <w:szCs w:val="23"/>
          <w:shd w:val="clear" w:color="auto" w:fill="FFFFFF"/>
          <w:lang/>
        </w:rPr>
        <w:t>locus standi — administrator must sue in representative capacity; proceedings in personal name when acting as administrator are nullities; Appellate Jurisdiction Act s.6(2) — power to quash null proceedings; probate — primary court letters of administration.</w:t>
      </w:r>
    </w:p>
    <w:tbl>
      <w:tblPr>
        <w:tblW w:w="124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65"/>
      </w:tblGrid>
      <w:tr w:rsidR="00AF3492" w:rsidRPr="00AF3492" w14:paraId="4C40BE42" w14:textId="77777777" w:rsidTr="00C67A1A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DEE2E6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737435CC" w14:textId="77777777" w:rsidR="00AF3492" w:rsidRPr="00AF3492" w:rsidRDefault="00AF3492" w:rsidP="00AF3492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r w:rsidRPr="00AF3492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  <w:t>3 March 2026</w:t>
            </w:r>
          </w:p>
        </w:tc>
      </w:tr>
      <w:tr w:rsidR="00AF3492" w:rsidRPr="00AF3492" w14:paraId="3E280B27" w14:textId="77777777" w:rsidTr="00C67A1A">
        <w:tc>
          <w:tcPr>
            <w:tcW w:w="12465" w:type="dxa"/>
            <w:tcBorders>
              <w:top w:val="single" w:sz="2" w:space="0" w:color="auto"/>
              <w:left w:val="single" w:sz="2" w:space="0" w:color="auto"/>
              <w:bottom w:val="single" w:sz="6" w:space="0" w:color="DEE2E6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ACFBA39" w14:textId="77777777" w:rsidR="00AF3492" w:rsidRPr="00AF3492" w:rsidRDefault="00AF3492" w:rsidP="00AF3492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hyperlink r:id="rId5" w:history="1">
              <w:r w:rsidRPr="00AF3492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/>
                  <w14:ligatures w14:val="none"/>
                </w:rPr>
                <w:t>Prosper Makuru vs Anna Munisi (Civil Appeal No. 1358 of 2024) [2026] TZCA 225 (3 March 2026)</w:t>
              </w:r>
            </w:hyperlink>
          </w:p>
        </w:tc>
      </w:tr>
    </w:tbl>
    <w:p w14:paraId="7B4B5448" w14:textId="77777777" w:rsidR="00AF3492" w:rsidRDefault="00AF3492"/>
    <w:sectPr w:rsidR="00AF34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B6917"/>
    <w:multiLevelType w:val="hybridMultilevel"/>
    <w:tmpl w:val="C422F4AA"/>
    <w:lvl w:ilvl="0" w:tplc="EC08806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4097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492"/>
    <w:rsid w:val="00AF3492"/>
    <w:rsid w:val="00B11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C8397"/>
  <w15:chartTrackingRefBased/>
  <w15:docId w15:val="{1AAD4E2D-313B-45C0-AA98-CBAE2320B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34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34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34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34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34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34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34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34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34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34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34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34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349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349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34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34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34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34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34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34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34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34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34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34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34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349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34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349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349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anzlii.org/en/akn/tz/judgment/tzca/2026/225/eng@2026-03-0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BABY MAMA</dc:creator>
  <cp:keywords/>
  <dc:description/>
  <cp:lastModifiedBy>BABY MAMA</cp:lastModifiedBy>
  <cp:revision>1</cp:revision>
  <dcterms:created xsi:type="dcterms:W3CDTF">2026-04-07T13:45:00Z</dcterms:created>
  <dcterms:modified xsi:type="dcterms:W3CDTF">2026-04-07T13:47:00Z</dcterms:modified>
</cp:coreProperties>
</file>