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0C1D7" w14:textId="77777777" w:rsidR="00D76F80" w:rsidRPr="00D76F80" w:rsidRDefault="00D76F80" w:rsidP="00D76F80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D76F80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locus standi to appeal &amp;mdash; distinction between objector (party) and witness &amp;mdash; objection ruling v. appointment ruling &amp;mdash; nullity of appeal for lack of standing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D76F80" w:rsidRPr="00D76F80" w14:paraId="222846FD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38294426" w14:textId="77777777" w:rsidR="00D76F80" w:rsidRPr="00D76F80" w:rsidRDefault="00D76F80" w:rsidP="00D76F8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D76F80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27 February 2026</w:t>
            </w:r>
          </w:p>
        </w:tc>
      </w:tr>
      <w:tr w:rsidR="00D76F80" w:rsidRPr="00D76F80" w14:paraId="4A7ADFB6" w14:textId="77777777" w:rsidTr="00C67A1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E3821F0" w14:textId="77777777" w:rsidR="00D76F80" w:rsidRPr="00D76F80" w:rsidRDefault="00D76F80" w:rsidP="00D76F8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D76F8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Robert Emmanuel vs Republic (Criminal Appeal No. 740 of 2024) [2026] TZCA 159 (27 February 2026)</w:t>
              </w:r>
            </w:hyperlink>
          </w:p>
        </w:tc>
      </w:tr>
    </w:tbl>
    <w:p w14:paraId="1745E3E4" w14:textId="77777777" w:rsidR="00D76F80" w:rsidRDefault="00D76F80"/>
    <w:sectPr w:rsidR="00D76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F80"/>
    <w:rsid w:val="00B115D6"/>
    <w:rsid w:val="00D7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CE3A7"/>
  <w15:chartTrackingRefBased/>
  <w15:docId w15:val="{139F7F4A-E8DB-4928-BFDB-7A40CF89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6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F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F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F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F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F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F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F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F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F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F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F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F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F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F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ca/2026/159/eng@2026-02-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2026-04-07T13:47:00Z</dcterms:modified>
</cp:coreProperties>
</file>