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BBD14" w14:textId="77777777" w:rsidR="00B2664F" w:rsidRPr="00B2664F" w:rsidRDefault="00B2664F" w:rsidP="00B2664F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B2664F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Letters of administration granted for an intestate estate where applicant satisfied statutory requirements and no caveat opposed the application.</w:t>
      </w:r>
      <w:r w:rsidRPr="00B2664F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Grant of letters of administration — Intestacy — Absence of will — Proper citation and absence of caveat — Oath and sureties — Filing of inventory (6 months) and account (12 months) — Section 107(1)&amp;(2), Cap.352 R.E.2023.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B2664F" w:rsidRPr="00B2664F" w14:paraId="483A3158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2D1731E" w14:textId="77777777" w:rsidR="00B2664F" w:rsidRPr="00B2664F" w:rsidRDefault="00B2664F" w:rsidP="00B2664F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B2664F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</w:r>
          </w:p>
        </w:tc>
      </w:tr>
      <w:tr w:rsidR="00B2664F" w:rsidRPr="00B2664F" w14:paraId="0E8C3594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B83E8F0" w14:textId="77777777" w:rsidR="00B2664F" w:rsidRPr="00B2664F" w:rsidRDefault="00B2664F" w:rsidP="00B2664F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B2664F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Barnabas Idd Godigodi vs Estate of Late Theresia Barnabas Mgonda (Probate and Administration Cause No. 31202 of 2025) [2026] TZHC 1029 (27 March 2026)</w:t>
              </w:r>
            </w:hyperlink>
          </w:p>
        </w:tc>
      </w:tr>
    </w:tbl>
    <w:p w14:paraId="536663BC" w14:textId="77777777" w:rsidR="00B2664F" w:rsidRDefault="00B2664F"/>
    <w:sectPr w:rsidR="00B26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4F"/>
    <w:rsid w:val="00B115D6"/>
    <w:rsid w:val="00B2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E68FF"/>
  <w15:chartTrackingRefBased/>
  <w15:docId w15:val="{C1BAF692-E721-4E4D-A953-408304AE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6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6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6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6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6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29/eng@2026-03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2026-04-07T13:51:00Z</dcterms:modified>
</cp:coreProperties>
</file>