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2515" w14:textId="77777777" w:rsidR="001150C1" w:rsidRPr="001150C1" w:rsidRDefault="001150C1" w:rsidP="001150C1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1150C1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 xml:space="preserve">Closure of probate without summoning a co-administrator is an illegality warranting extension of time to appeal. </w:t>
      </w:r>
      <w:r w:rsidRPr="001150C1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closure of administration — mandatory summons to heirs, creditors and co-administrator — procedural irregularity/illegality apparent on the record — extension of time — Lyamuya guidelines. 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1150C1" w:rsidRPr="001150C1" w14:paraId="3FFF8CBA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27A354F9" w14:textId="77777777" w:rsidR="001150C1" w:rsidRPr="001150C1" w:rsidRDefault="001150C1" w:rsidP="001150C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1150C1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31 March 2026</w:t>
            </w:r>
          </w:p>
        </w:tc>
      </w:tr>
      <w:tr w:rsidR="001150C1" w:rsidRPr="001150C1" w14:paraId="64BD3387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9C6A538" w14:textId="77777777" w:rsidR="001150C1" w:rsidRPr="001150C1" w:rsidRDefault="001150C1" w:rsidP="001150C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1150C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Shamila Daudi vs Saudath Sadru Katabaro (PC. Civil Appeal No. 3446 of 2025) [2026] TZHC 1154 (31 March 2026)</w:t>
              </w:r>
            </w:hyperlink>
          </w:p>
        </w:tc>
      </w:tr>
    </w:tbl>
    <w:p w14:paraId="24A78EFA" w14:textId="77777777" w:rsidR="001150C1" w:rsidRDefault="001150C1"/>
    <w:sectPr w:rsidR="001150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0C1"/>
    <w:rsid w:val="001150C1"/>
    <w:rsid w:val="00B1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10279"/>
  <w15:chartTrackingRefBased/>
  <w15:docId w15:val="{4993D8C6-05C6-4B4C-AD7D-A0E1F355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0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0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0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0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0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0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0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0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0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0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0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0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0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0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0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0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0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154/eng@2026-03-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2026-04-07T13:50:00Z</dcterms:modified>
</cp:coreProperties>
</file>