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DAE30" w14:textId="77777777" w:rsidR="00115D44" w:rsidRPr="00115D44" w:rsidRDefault="00115D44" w:rsidP="00115D44">
      <w:pPr>
        <w:numPr>
          <w:ilvl w:val="0"/>
          <w:numId w:val="1"/>
        </w:numPr>
        <w:spacing w:line="259" w:lineRule="auto"/>
        <w:contextualSpacing/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</w:pPr>
      <w:r w:rsidRPr="00115D44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Caveat – Competence of appeal – Capacity of parties – Administrator to be sued in representative capacity – Locus standi – Supplementary record under rule 96(7).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115D44" w:rsidRPr="00115D44" w14:paraId="0CF1DB94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5CA04E8A" w14:textId="77777777" w:rsidR="00115D44" w:rsidRPr="00115D44" w:rsidRDefault="00115D44" w:rsidP="00115D44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115D44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</w:r>
          </w:p>
        </w:tc>
      </w:tr>
      <w:tr w:rsidR="00115D44" w:rsidRPr="00115D44" w14:paraId="41966DE0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5816F45" w14:textId="77777777" w:rsidR="00115D44" w:rsidRPr="00115D44" w:rsidRDefault="00115D44" w:rsidP="00115D44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115D4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Daati Siima &amp; Another vs Erro Siima (Civil Appeal No. 141 of 2024) [2026] TZCA 333 (23 March 2026)</w:t>
              </w:r>
            </w:hyperlink>
          </w:p>
        </w:tc>
      </w:tr>
    </w:tbl>
    <w:p w14:paraId="7883C5D7" w14:textId="77777777" w:rsidR="00115D44" w:rsidRDefault="00115D44"/>
    <w:sectPr w:rsidR="00115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44"/>
    <w:rsid w:val="00115D44"/>
    <w:rsid w:val="00B1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A67CF"/>
  <w15:chartTrackingRefBased/>
  <w15:docId w15:val="{3294CEAA-5FBC-41BD-9AAB-0DDCBCAA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D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D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D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D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D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D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D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D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D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D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D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D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D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D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D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D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D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333/eng@2026-03-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2026-04-07T13:46:00Z</dcterms:modified>
</cp:coreProperties>
</file>