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74065" w14:textId="2C8369A6" w:rsidR="008E7AD5" w:rsidRDefault="00B85628">
      <w:pPr>
        <w:rPr>
          <w:lang w:val="en-US"/>
        </w:rPr>
      </w:pPr>
      <w:r>
        <w:rPr>
          <w:lang w:val="en-US"/>
        </w:rPr>
        <w:t>TORT CASES</w:t>
      </w:r>
    </w:p>
    <w:p w14:paraId="5262DF65" w14:textId="77777777" w:rsidR="00B85628" w:rsidRPr="00B85628" w:rsidRDefault="00B85628" w:rsidP="00B8562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Publication — Burden of proof on balance of probabilities — Material contradictions in witness testimony defeat proof of publication — Vicarious liability insufficient without evidence of agent's publication — First appellate court’s duty to re-evaluate evidence.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B85628" w:rsidRPr="00B85628" w14:paraId="2A459E19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3620FAE3" w14:textId="77777777" w:rsidR="00B85628" w:rsidRPr="00B85628" w:rsidRDefault="00B85628" w:rsidP="00B8562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B85628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5 February 2026</w:t>
            </w:r>
          </w:p>
        </w:tc>
      </w:tr>
      <w:tr w:rsidR="00B85628" w:rsidRPr="00B85628" w14:paraId="5D110CAF" w14:textId="77777777" w:rsidTr="00561046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BCEF16F" w14:textId="77777777" w:rsidR="00B85628" w:rsidRPr="00B85628" w:rsidRDefault="00B85628" w:rsidP="00B85628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5" w:history="1">
              <w:r w:rsidRPr="00B8562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Abdallah Yahaya </w:t>
              </w:r>
              <w:proofErr w:type="spellStart"/>
              <w:r w:rsidRPr="00B8562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Luhorela</w:t>
              </w:r>
              <w:proofErr w:type="spellEnd"/>
              <w:r w:rsidRPr="00B8562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National Microfinance Bank PLC &amp; Others (Civil Appeal No. 434 of 2024) [2026] TZCA 31 (4 February 2026)</w:t>
              </w:r>
            </w:hyperlink>
          </w:p>
        </w:tc>
      </w:tr>
    </w:tbl>
    <w:p w14:paraId="70FB7A25" w14:textId="77777777" w:rsidR="00561046" w:rsidRPr="00B85628" w:rsidRDefault="00561046" w:rsidP="00B8562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Civil suit for fire damage is competent; special damages require strict proof; respondent awarded TZS 3,000,000.</w:t>
      </w:r>
      <w:r w:rsidRPr="00561046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tortious fire damage – civil suit competent despite potential criminality; standard of proof in civil claims is balance of probabilities; special damages must be strictly proved; where liability is established but valuation unsubstantiated court may award general damages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. 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561046" w:rsidRPr="00561046" w14:paraId="16D20BA3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7A89E2E3" w14:textId="77777777" w:rsidR="00561046" w:rsidRPr="00561046" w:rsidRDefault="00561046" w:rsidP="0056104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561046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26 March 2026</w:t>
            </w:r>
          </w:p>
        </w:tc>
      </w:tr>
      <w:tr w:rsidR="00561046" w:rsidRPr="00561046" w14:paraId="302DAFC7" w14:textId="77777777" w:rsidTr="002A6A64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31538B8" w14:textId="77777777" w:rsidR="00561046" w:rsidRPr="00561046" w:rsidRDefault="00561046" w:rsidP="00561046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6" w:history="1">
              <w:proofErr w:type="spellStart"/>
              <w:r w:rsidRPr="00561046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Nesphory</w:t>
              </w:r>
              <w:proofErr w:type="spellEnd"/>
              <w:r w:rsidRPr="00561046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Zambi vs Doris Boaz </w:t>
              </w:r>
              <w:proofErr w:type="spellStart"/>
              <w:r w:rsidRPr="00561046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Kaitaba</w:t>
              </w:r>
              <w:proofErr w:type="spellEnd"/>
              <w:r w:rsidRPr="00561046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(PC Civil Appeal No. 21490 of 2025) [2026] TZHC 1173 (26 March 2026)</w:t>
              </w:r>
            </w:hyperlink>
          </w:p>
        </w:tc>
      </w:tr>
    </w:tbl>
    <w:p w14:paraId="581618AE" w14:textId="77777777" w:rsidR="002A6A64" w:rsidRPr="00B85628" w:rsidRDefault="002A6A64" w:rsidP="00B8562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 xml:space="preserve">A plaintiff's tort-based trademark suit filed after the three-year limit was dismissed; continuing-wrong and discovery exceptions were </w:t>
      </w:r>
      <w:proofErr w:type="spellStart"/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unpleaded</w:t>
      </w:r>
      <w:proofErr w:type="spellEnd"/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.</w:t>
      </w:r>
      <w:r w:rsidRPr="002A6A64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Limitation of actions — tortious claims — three-year limitation — accrual of cause of action on introduction of allegedly infringing product — continuing wrong doctrine inapplicable where initial act is complete — discovery/fraud exceptions must be pleaded — lack of jurisdiction; dismissal as time-barred.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2A6A64" w:rsidRPr="002A6A64" w14:paraId="20D09121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2BDA785" w14:textId="77777777" w:rsidR="002A6A64" w:rsidRPr="002A6A64" w:rsidRDefault="002A6A64" w:rsidP="002A6A6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2A6A64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25 March 2026</w:t>
            </w:r>
          </w:p>
        </w:tc>
      </w:tr>
      <w:tr w:rsidR="002A6A64" w:rsidRPr="002A6A64" w14:paraId="7F60F38B" w14:textId="77777777">
        <w:tc>
          <w:tcPr>
            <w:tcW w:w="9349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C5C6378" w14:textId="77777777" w:rsidR="002A6A64" w:rsidRPr="002A6A64" w:rsidRDefault="002A6A64" w:rsidP="002A6A64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7" w:history="1">
              <w:r w:rsidRPr="002A6A6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Double Diamond Holdings Limited vs Glenlivet Distilleries Co. Ltd and 2 Others (Civil Case No. 11806 of 2025) [2026] TZHC 1068 (25 March 2026)</w:t>
              </w:r>
            </w:hyperlink>
          </w:p>
        </w:tc>
      </w:tr>
    </w:tbl>
    <w:p w14:paraId="5D2441FF" w14:textId="56536352" w:rsidR="00B85628" w:rsidRPr="00B85628" w:rsidRDefault="00B85628" w:rsidP="00B85628">
      <w:pPr>
        <w:pStyle w:val="ListParagraph"/>
        <w:numPr>
          <w:ilvl w:val="0"/>
          <w:numId w:val="1"/>
        </w:numPr>
        <w:rPr>
          <w:lang w:val="en-US"/>
        </w:rPr>
      </w:pPr>
    </w:p>
    <w:sectPr w:rsidR="00B85628" w:rsidRPr="00B856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C58A5"/>
    <w:multiLevelType w:val="hybridMultilevel"/>
    <w:tmpl w:val="FEDA9EC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66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28"/>
    <w:rsid w:val="00070B3E"/>
    <w:rsid w:val="00264BBB"/>
    <w:rsid w:val="002A6A64"/>
    <w:rsid w:val="004504DE"/>
    <w:rsid w:val="004E1759"/>
    <w:rsid w:val="00561046"/>
    <w:rsid w:val="00647DD7"/>
    <w:rsid w:val="008E7AD5"/>
    <w:rsid w:val="009E1854"/>
    <w:rsid w:val="00B85628"/>
    <w:rsid w:val="00D7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EF57C"/>
  <w15:chartTrackingRefBased/>
  <w15:docId w15:val="{A90BDF89-BBE9-4352-8448-B6BE0446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T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6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6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6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6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6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6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6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6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6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6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6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6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6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6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6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6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6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6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6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6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6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6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6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6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6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6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6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nzlii.org/en/akn/tz/judgment/tzhc/2026/1068/eng@2026-03-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nzlii.org/en/akn/tz/judgment/tzhc/2026/1173/eng@2026-03-26" TargetMode="External"/><Relationship Id="rId5" Type="http://schemas.openxmlformats.org/officeDocument/2006/relationships/hyperlink" Target="https://tanzlii.org/en/akn/tz/judgment/tzca/2026/31/eng@2026-02-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MANDELA</dc:creator>
  <cp:keywords/>
  <dc:description/>
  <cp:lastModifiedBy>MANDELA</cp:lastModifiedBy>
  <cp:revision>3</cp:revision>
  <dcterms:created xsi:type="dcterms:W3CDTF">2026-04-05T08:53:00Z</dcterms:created>
  <dcterms:modified xsi:type="dcterms:W3CDTF">2026-04-06T08:47:00Z</dcterms:modified>
</cp:coreProperties>
</file>