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66BA3" w14:textId="77777777" w:rsidR="00C5664B" w:rsidRPr="00C5664B" w:rsidRDefault="00C5664B" w:rsidP="00C5664B">
      <w:pPr>
        <w:numPr>
          <w:ilvl w:val="0"/>
          <w:numId w:val="1"/>
        </w:numPr>
        <w:spacing w:line="259" w:lineRule="auto"/>
        <w:contextualSpacing/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</w:pPr>
      <w:r w:rsidRPr="00C5664B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— Suit instituted by a trade union branch of TUICO which is not a legal entity - Whether union branch has locus standi - Whether union branch can represent dead, retrenched or retired members. Contract law - Privity of Contract - Action is based on trust deed - Whether plaintiff can sue on trust deed to which he is not a party - Whether trust rules applicable Arbitration - Parties agree to submit matter to arbitration —Whether court bound to refer matter to arbitration in case of dispute -Whether submission of a suit to arbitration can be taken and decided as a preliminary objection Civil Practice and Procedure - Written submissions - Annexures attached to written submissions - Whether documents constituting evidence of facts may be attached to written submissions</w:t>
      </w:r>
    </w:p>
    <w:p w14:paraId="22F58764" w14:textId="0E4C368B" w:rsidR="00C5664B" w:rsidRDefault="00C5664B" w:rsidP="00C5664B">
      <w:hyperlink r:id="rId5" w:tgtFrame="_blank" w:history="1">
        <w:r w:rsidRPr="00C5664B">
          <w:rPr>
            <w:rFonts w:ascii="Segoe UI" w:eastAsia="Times New Roman" w:hAnsi="Segoe UI" w:cs="Segoe UI"/>
            <w:color w:val="0076B3"/>
            <w:kern w:val="0"/>
            <w:sz w:val="20"/>
            <w:szCs w:val="20"/>
            <w:u w:val="single"/>
            <w:lang/>
            <w14:ligatures w14:val="none"/>
          </w:rPr>
          <w:t>Tanzania Union of Industrial and Commercial Workers (TUICO) at Mbeya Cement Company Ltd vs Mbeya Cement Company Ltd and National Insurance Corporation (T) Limited (Civil Case No. 315 of 2000) [2004] TZHC 626 (20 April 2004)</w:t>
        </w:r>
      </w:hyperlink>
    </w:p>
    <w:sectPr w:rsidR="00C56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4B"/>
    <w:rsid w:val="0061349A"/>
    <w:rsid w:val="00C5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100B4"/>
  <w15:chartTrackingRefBased/>
  <w15:docId w15:val="{C1EDAC28-04B8-460E-9C2D-EA2115E2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6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6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6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6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6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6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6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6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6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6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6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6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6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6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6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6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6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04/626/eng@2004-04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2026-04-07T11:26:00Z</dcterms:created>
  <dcterms:modified xsi:type="dcterms:W3CDTF">2026-04-07T11:27:00Z</dcterms:modified>
</cp:coreProperties>
</file>