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D86D" w14:textId="77777777" w:rsidR="001A12C8" w:rsidRPr="001A12C8" w:rsidRDefault="001A12C8" w:rsidP="001A12C8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1A12C8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requirement of a final decision; exhaustion of statutory remedies before review; annexing the impugned decision at leave stage; procedural compliance under Labour Court rules.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1A12C8" w:rsidRPr="001A12C8" w14:paraId="2A308BC5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A912F" w14:textId="77777777" w:rsidR="001A12C8" w:rsidRPr="001A12C8" w:rsidRDefault="001A12C8" w:rsidP="001A12C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1A12C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y 2026</w:t>
            </w:r>
          </w:p>
        </w:tc>
      </w:tr>
      <w:tr w:rsidR="001A12C8" w:rsidRPr="001A12C8" w14:paraId="6EB8F490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EDA49" w14:textId="77777777" w:rsidR="001A12C8" w:rsidRPr="001A12C8" w:rsidRDefault="001A12C8" w:rsidP="001A12C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1A12C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Aristides Arbogast Kimario vs National Institute For Medical Research (NIMR) and 2 Others (MISCELLANEOUS LABOUR APPLICATION NO. 30607 OF 2025) [2026] TZHCLD 17 (12 February</w:t>
              </w:r>
            </w:hyperlink>
          </w:p>
        </w:tc>
      </w:tr>
    </w:tbl>
    <w:p w14:paraId="487B43E1" w14:textId="77777777" w:rsidR="001A12C8" w:rsidRDefault="001A12C8"/>
    <w:sectPr w:rsidR="001A1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C8"/>
    <w:rsid w:val="001A12C8"/>
    <w:rsid w:val="0061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793D7"/>
  <w15:chartTrackingRefBased/>
  <w15:docId w15:val="{52C3EAC1-5FB1-4033-A5D8-D88BB545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2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2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2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2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2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7/eng@2026-02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2026-04-07T11:47:00Z</dcterms:modified>
</cp:coreProperties>
</file>