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D2E04" w14:textId="77777777" w:rsidR="00993F4D" w:rsidRPr="00993F4D" w:rsidRDefault="00993F4D" w:rsidP="00993F4D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993F4D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requirement of a final decision; exhaustion of statutory remedies before review; annexing the impugned decision at leave stage; procedural compliance under Labour Court rules.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993F4D" w:rsidRPr="00993F4D" w14:paraId="1FA0AA5A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DB2ED7" w14:textId="77777777" w:rsidR="00993F4D" w:rsidRPr="00993F4D" w:rsidRDefault="00993F4D" w:rsidP="00993F4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993F4D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y 2026</w:t>
            </w:r>
          </w:p>
        </w:tc>
      </w:tr>
      <w:tr w:rsidR="00993F4D" w:rsidRPr="00993F4D" w14:paraId="1F97D112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3F3AB" w14:textId="77777777" w:rsidR="00993F4D" w:rsidRPr="00993F4D" w:rsidRDefault="00993F4D" w:rsidP="00993F4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993F4D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Aristides Arbogast Kimario vs National Institute For Medical Research (NIMR) and 2 Others (MISCELLANEOUS LABOUR APPLICATION NO. 30607 OF 2025) [2026] TZHCLD 17 (12 February</w:t>
              </w:r>
            </w:hyperlink>
          </w:p>
        </w:tc>
      </w:tr>
    </w:tbl>
    <w:p w14:paraId="72AB434C" w14:textId="77777777" w:rsidR="00993F4D" w:rsidRDefault="00993F4D"/>
    <w:sectPr w:rsidR="00993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4D"/>
    <w:rsid w:val="0061349A"/>
    <w:rsid w:val="0099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92FC9"/>
  <w15:chartTrackingRefBased/>
  <w15:docId w15:val="{777ABD87-1BBB-4AB5-A14A-660FE6C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F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F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F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F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F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F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F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F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F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F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F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17/eng@2026-02-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2026-04-07T11:49:00Z</dcterms:modified>
</cp:coreProperties>
</file>