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7AB51" w14:textId="77777777" w:rsidR="00AE089E" w:rsidRPr="00AE089E" w:rsidRDefault="00AE089E" w:rsidP="00AE089E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AE089E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Procedure at CMA — Validity of CMA F1 as initiating pleading — Improper completion of Part B for unfair labour practice — Material defect renders CMA proceedings a nullity — Award quashed.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AE089E" w:rsidRPr="00AE089E" w14:paraId="44F98768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3FB38" w14:textId="77777777" w:rsidR="00AE089E" w:rsidRPr="00AE089E" w:rsidRDefault="00AE089E" w:rsidP="00AE089E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AE089E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y 2026</w:t>
            </w:r>
          </w:p>
        </w:tc>
      </w:tr>
      <w:tr w:rsidR="00AE089E" w:rsidRPr="00AE089E" w14:paraId="489CBF8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C887C" w14:textId="77777777" w:rsidR="00AE089E" w:rsidRPr="00AE089E" w:rsidRDefault="00AE089E" w:rsidP="00AE089E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AE089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Deutsche Gesellschaft Fur Internationale Zusammenarbeit (GIZ) GmbH vs Lilian Jacob Omolo (LABOUR REVISION APPLICATION NO. 8 OF 2026) [2026] TZHCLD 2 (27 February 2026)</w:t>
              </w:r>
            </w:hyperlink>
          </w:p>
        </w:tc>
      </w:tr>
    </w:tbl>
    <w:p w14:paraId="406653BB" w14:textId="77777777" w:rsidR="00AE089E" w:rsidRDefault="00AE089E"/>
    <w:sectPr w:rsidR="00AE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9E"/>
    <w:rsid w:val="0061349A"/>
    <w:rsid w:val="00AE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C7462"/>
  <w15:chartTrackingRefBased/>
  <w15:docId w15:val="{79C8C95E-915F-414C-AC35-8DC75BDE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8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8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8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8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8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8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8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8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8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8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/eng@2026-02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2026-04-07T11:42:00Z</dcterms:modified>
</cp:coreProperties>
</file>