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9324" w14:textId="77777777" w:rsidR="00217BAD" w:rsidRPr="00217BAD" w:rsidRDefault="00217BAD" w:rsidP="00217BAD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217BAD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limitation of actions under GN No.64/2007 Rule 10(1) and (2); date of employer's "final decision" for accrual; competence of CMA Form No.1 — Part A v. Part B; striking out v. dismissal; review for material irregularity/illegality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217BAD" w:rsidRPr="00217BAD" w14:paraId="23A4C116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0B461" w14:textId="77777777" w:rsidR="00217BAD" w:rsidRPr="00217BAD" w:rsidRDefault="00217BAD" w:rsidP="00217BA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217BAD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ruary 2026</w:t>
            </w:r>
          </w:p>
        </w:tc>
      </w:tr>
      <w:tr w:rsidR="00217BAD" w:rsidRPr="00217BAD" w14:paraId="6F19885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0264A" w14:textId="77777777" w:rsidR="00217BAD" w:rsidRPr="00217BAD" w:rsidRDefault="00217BAD" w:rsidP="00217BA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217BAD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Victor Mollel vs Stromme Foundation (Revision No. 27941 of 2025) [2026] TZHCLD 8 (20 February 2026)</w:t>
              </w:r>
            </w:hyperlink>
          </w:p>
        </w:tc>
      </w:tr>
    </w:tbl>
    <w:p w14:paraId="622C4E4E" w14:textId="77777777" w:rsidR="00217BAD" w:rsidRDefault="00217BAD"/>
    <w:sectPr w:rsidR="0021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AD"/>
    <w:rsid w:val="00217BAD"/>
    <w:rsid w:val="0061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88A29"/>
  <w15:chartTrackingRefBased/>
  <w15:docId w15:val="{3F1B18F3-6D75-473F-B452-C4F2F7B3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B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B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B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B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B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B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B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B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B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B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B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8/eng@2026-02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2026-04-07T11:44:00Z</dcterms:modified>
</cp:coreProperties>
</file>