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4E726" w14:textId="77777777" w:rsidR="00BF2C02" w:rsidRPr="00BF2C02" w:rsidRDefault="00BF2C02" w:rsidP="00BF2C02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BF2C02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extension of time – good cause – technical delay arising from withdrawal of a prior revision – res judicata issue premature at extension stage; diligence required</w:t>
      </w:r>
      <w:hyperlink r:id="rId5" w:history="1">
        <w:r w:rsidRPr="00BF2C02">
          <w:rPr>
            <w:rFonts w:ascii="Segoe UI" w:eastAsia="Times New Roman" w:hAnsi="Segoe UI" w:cs="Segoe UI"/>
            <w:color w:val="005E8F"/>
            <w:kern w:val="0"/>
            <w:sz w:val="23"/>
            <w:szCs w:val="23"/>
            <w:u w:val="single"/>
            <w:lang/>
            <w14:ligatures w14:val="none"/>
          </w:rPr>
          <w:br/>
          <w:t>Charles Edward Ng’hwaya vs Oryx Oil Company (MISCELLANEOUS LABOUR APPLICATION NO. 29489 OF 2025) [2026] TZHCLD 30 (25 March 2026)</w:t>
        </w:r>
      </w:hyperlink>
    </w:p>
    <w:p w14:paraId="0B3423FD" w14:textId="77777777" w:rsidR="00BF2C02" w:rsidRDefault="00BF2C02"/>
    <w:sectPr w:rsidR="00BF2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02"/>
    <w:rsid w:val="0061349A"/>
    <w:rsid w:val="00B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D5DF"/>
  <w15:chartTrackingRefBased/>
  <w15:docId w15:val="{5D17E518-612B-4256-BD4F-32B551D2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C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C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C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C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C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C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C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C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C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C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C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30/eng@2026-03-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2026-04-07T11:26:00Z</dcterms:created>
  <dcterms:modified xsi:type="dcterms:W3CDTF">2026-04-07T11:30:00Z</dcterms:modified>
</cp:coreProperties>
</file>