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C26C4" w14:textId="77777777" w:rsidR="00D41A90" w:rsidRPr="00D41A90" w:rsidRDefault="00D41A90" w:rsidP="00D41A90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D41A90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court vacation does not suspend timelines – e</w:t>
      </w:r>
      <w:r w:rsidRPr="00D41A90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noBreakHyphen/>
        <w:t>filing and open registry – dies non juridicus – procedural compliance under Rule 24(2)(f) – failure to attach CMA award – alleged illegality not a substitute for explanation of delay.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D41A90" w:rsidRPr="00D41A90" w14:paraId="3A0C8A7C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B8150E" w14:textId="77777777" w:rsidR="00D41A90" w:rsidRPr="00D41A90" w:rsidRDefault="00D41A90" w:rsidP="00D41A9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D41A90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March 2026</w:t>
            </w:r>
          </w:p>
        </w:tc>
      </w:tr>
      <w:tr w:rsidR="00D41A90" w:rsidRPr="00D41A90" w14:paraId="6B158CBB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298D11" w14:textId="77777777" w:rsidR="00D41A90" w:rsidRPr="00D41A90" w:rsidRDefault="00D41A90" w:rsidP="00D41A9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D41A9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Ahmed Said Khalfan (As Administrator Of The Estate Of The Late Mohamed Ahmed Said) and Others vs Abdul Rashid Hussein (MISCELLANEOUS LABOUR APPLICATION NO. 000031632 OF 2025) [2026] TZHCLD 18 (12 March 2026)</w:t>
              </w:r>
            </w:hyperlink>
          </w:p>
        </w:tc>
      </w:tr>
    </w:tbl>
    <w:p w14:paraId="2F5289D8" w14:textId="77777777" w:rsidR="00D41A90" w:rsidRDefault="00D41A90"/>
    <w:sectPr w:rsidR="00D41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90"/>
    <w:rsid w:val="0061349A"/>
    <w:rsid w:val="00D4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F1C8B"/>
  <w15:chartTrackingRefBased/>
  <w15:docId w15:val="{E1749EFD-0EB5-4A8B-AB26-5FD0BD27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A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A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A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A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A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A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A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A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A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A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A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A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A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A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A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A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A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A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A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A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A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A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A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18/eng@2026-03-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2026-04-07T11:32:00Z</dcterms:created>
  <dcterms:modified xsi:type="dcterms:W3CDTF">2026-04-07T11:35:00Z</dcterms:modified>
</cp:coreProperties>
</file>