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4E721" w14:textId="77777777" w:rsidR="00C545B2" w:rsidRPr="00C545B2" w:rsidRDefault="00C545B2" w:rsidP="00C545B2">
      <w:pPr>
        <w:numPr>
          <w:ilvl w:val="0"/>
          <w:numId w:val="1"/>
        </w:numPr>
        <w:spacing w:line="259" w:lineRule="auto"/>
        <w:contextualSpacing/>
        <w:rPr>
          <w:rFonts w:ascii="Segoe UI" w:eastAsia="Times New Roman" w:hAnsi="Segoe UI" w:cs="Segoe UI"/>
          <w:color w:val="212529"/>
          <w:kern w:val="0"/>
          <w:sz w:val="23"/>
          <w:szCs w:val="23"/>
          <w:lang/>
          <w14:ligatures w14:val="none"/>
        </w:rPr>
      </w:pPr>
      <w:r w:rsidRPr="00C545B2">
        <w:rPr>
          <w:rFonts w:ascii="Segoe UI" w:eastAsia="Calibri" w:hAnsi="Segoe UI" w:cs="Segoe UI"/>
          <w:color w:val="212529"/>
          <w:sz w:val="23"/>
          <w:szCs w:val="23"/>
          <w:shd w:val="clear" w:color="auto" w:fill="FFFFFF"/>
          <w:lang/>
        </w:rPr>
        <w:t>Applicant’s dismissal set aside for lack of evidence of theft; awarded compensation, notice pay and severance.</w:t>
      </w:r>
      <w:r w:rsidRPr="00C545B2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 xml:space="preserve"> unfair termination; proof of misconduct — insufficiency of circumstantial evidence; disciplinary procedure — investigation report and service; remedies — compensation, notice pay, severance; repatriation costs — contractual interpretation of 'point/place of hire'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C545B2" w:rsidRPr="00C545B2" w14:paraId="408CA51D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1333AD51" w14:textId="77777777" w:rsidR="00C545B2" w:rsidRPr="00C545B2" w:rsidRDefault="00C545B2" w:rsidP="00C545B2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C545B2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t>1 April 2026</w:t>
            </w:r>
          </w:p>
        </w:tc>
      </w:tr>
      <w:tr w:rsidR="00C545B2" w:rsidRPr="00C545B2" w14:paraId="1AE5A3FE" w14:textId="77777777" w:rsidTr="00E46D90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EA71536" w14:textId="77777777" w:rsidR="00C545B2" w:rsidRPr="00C545B2" w:rsidRDefault="00C545B2" w:rsidP="00C545B2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C545B2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Malale Joseph Malale vs Shanta Mining Company Limited (Labour Revision No. 26469 of 2025) [2026] TZHC 1153 (1 April 2026)</w:t>
              </w:r>
            </w:hyperlink>
          </w:p>
        </w:tc>
      </w:tr>
    </w:tbl>
    <w:p w14:paraId="7496DB41" w14:textId="77777777" w:rsidR="00C545B2" w:rsidRDefault="00C545B2"/>
    <w:sectPr w:rsidR="00C545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2F25"/>
    <w:multiLevelType w:val="hybridMultilevel"/>
    <w:tmpl w:val="9B4A0E9C"/>
    <w:lvl w:ilvl="0" w:tplc="5F56E4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660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5B2"/>
    <w:rsid w:val="0061349A"/>
    <w:rsid w:val="00C54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F41D0"/>
  <w15:chartTrackingRefBased/>
  <w15:docId w15:val="{C96DC655-59F3-4233-B179-CCB5AB80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45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45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45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45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45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45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45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45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45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45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45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45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45B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45B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45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45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45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45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45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45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45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45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45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45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45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45B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5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45B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45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/2026/1153/eng@2026-04-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2026-04-07T11:41:00Z</dcterms:created>
  <dcterms:modified xsi:type="dcterms:W3CDTF">2026-04-07T11:50:00Z</dcterms:modified>
</cp:coreProperties>
</file>