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C1FF" w14:textId="77777777" w:rsidR="00717069" w:rsidRPr="00717069" w:rsidRDefault="00717069" w:rsidP="00717069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717069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>Requirement that witnesses swear or affirm &amp;mdash; Expungement of unsworn testimony; sexual offences &amp;mdash; medical corroboration of penetration and age; identity of perpetrator &amp;mdash; failure to name assailant at earliest opportunity creates reasonable doubt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717069" w:rsidRPr="00717069" w14:paraId="1377B13E" w14:textId="77777777" w:rsidTr="007F03B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669C4108" w14:textId="77777777" w:rsidR="00717069" w:rsidRPr="00717069" w:rsidRDefault="00717069" w:rsidP="0071706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717069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20 February 2026</w:t>
            </w:r>
          </w:p>
        </w:tc>
      </w:tr>
      <w:tr w:rsidR="00717069" w:rsidRPr="00717069" w14:paraId="6B1D33E7" w14:textId="77777777" w:rsidTr="007F03BC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D74920" w14:textId="77777777" w:rsidR="00717069" w:rsidRPr="00717069" w:rsidRDefault="00717069" w:rsidP="0071706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717069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Director of Public Prosecutions vs Bondai Slaa (Criminal Appeal No. 818 of 2023) [2026] TZCA 63 (20 February 2026)</w:t>
              </w:r>
            </w:hyperlink>
          </w:p>
        </w:tc>
      </w:tr>
    </w:tbl>
    <w:p w14:paraId="73128918" w14:textId="77777777" w:rsidR="00717069" w:rsidRDefault="00717069"/>
    <w:sectPr w:rsidR="00717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69"/>
    <w:rsid w:val="00717069"/>
    <w:rsid w:val="0093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B5155"/>
  <w15:chartTrackingRefBased/>
  <w15:docId w15:val="{82D7AB5D-90EC-44AF-BB14-0CA14A46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0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0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0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0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0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63/eng@2026-02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2026-04-07T06:37:00Z</dcterms:created>
  <dcterms:modified xsi:type="dcterms:W3CDTF">2026-04-07T06:40:00Z</dcterms:modified>
</cp:coreProperties>
</file>