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9F352" w14:textId="77777777" w:rsidR="00F469CE" w:rsidRPr="00F469CE" w:rsidRDefault="00F469CE" w:rsidP="00F469CE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</w:rPr>
      </w:pPr>
      <w:r w:rsidRPr="00F469CE">
        <w:rPr>
          <w:rFonts w:ascii="Segoe UI" w:eastAsia="Calibri" w:hAnsi="Segoe UI" w:cs="Segoe UI"/>
          <w:color w:val="212529"/>
          <w:sz w:val="23"/>
          <w:szCs w:val="23"/>
          <w:shd w:val="clear" w:color="auto" w:fill="FFFFFF"/>
          <w:lang/>
        </w:rPr>
        <w:t>Failure to produce the written loan agreement defeated excessive interest claim, but admitted principal was recoverable with moderated interest.</w:t>
      </w:r>
      <w:r w:rsidRPr="00F469CE">
        <w:rPr>
          <w:rFonts w:ascii="Segoe UI" w:eastAsia="Calibri" w:hAnsi="Segoe UI" w:cs="Segoe UI"/>
          <w:i/>
          <w:iCs/>
          <w:color w:val="212529"/>
          <w:sz w:val="23"/>
          <w:szCs w:val="23"/>
          <w:shd w:val="clear" w:color="auto" w:fill="FFFFFF"/>
          <w:lang/>
        </w:rPr>
        <w:t xml:space="preserve"> burden of proof; proof of written contract – requirement to tender document or admissible secondary evidence; Microfinance/money-lending – legality and statutory limits on interest; public policy – unconscionable and excessive contractual terms; judicial moderation of interest to enforce admitted principal.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F469CE" w:rsidRPr="00F469CE" w14:paraId="39833C3C" w14:textId="77777777" w:rsidTr="00CE14E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2788787E" w14:textId="77777777" w:rsidR="00F469CE" w:rsidRPr="00F469CE" w:rsidRDefault="00F469CE" w:rsidP="00F469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F469CE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t>27 March 2026</w:t>
            </w:r>
          </w:p>
        </w:tc>
      </w:tr>
      <w:tr w:rsidR="00F469CE" w:rsidRPr="00F469CE" w14:paraId="7FFE0E41" w14:textId="77777777" w:rsidTr="00CE14ED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AAA80E" w14:textId="77777777" w:rsidR="00F469CE" w:rsidRPr="00F469CE" w:rsidRDefault="00F469CE" w:rsidP="00F469C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F469C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Kapaya Microfinance Limited vs Lailath Mahmoud Mtunzi (Civil Appeal No. 30385 of 2025 (District Court of Geita); Civil Case No. 173 of 2025 (Katoro Primary Court); PC CIVIL APPEAL No. 2288 OF 2026) [2026] TZHC 1033 (27 March 2026)</w:t>
              </w:r>
            </w:hyperlink>
          </w:p>
        </w:tc>
      </w:tr>
    </w:tbl>
    <w:p w14:paraId="4AC7FB06" w14:textId="77777777" w:rsidR="00F469CE" w:rsidRDefault="00F469CE"/>
    <w:sectPr w:rsidR="00F46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3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CE"/>
    <w:rsid w:val="00372C1B"/>
    <w:rsid w:val="00F4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F84C7"/>
  <w15:chartTrackingRefBased/>
  <w15:docId w15:val="{B07675E8-DAAB-4365-BED3-275515E6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9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9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9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9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9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9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9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9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9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hc/2026/1033/eng@2026-03-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2026-04-07T06:50:00Z</dcterms:created>
  <dcterms:modified xsi:type="dcterms:W3CDTF">2026-04-07T06:53:00Z</dcterms:modified>
</cp:coreProperties>
</file>