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9E868" w14:textId="77777777" w:rsidR="004C6CCE" w:rsidRPr="004C6CCE" w:rsidRDefault="004C6CCE" w:rsidP="004C6CCE">
      <w:pPr>
        <w:numPr>
          <w:ilvl w:val="0"/>
          <w:numId w:val="1"/>
        </w:numPr>
        <w:spacing w:line="259" w:lineRule="auto"/>
        <w:contextualSpacing/>
        <w:rPr>
          <w:rFonts w:ascii="Times New Roman" w:eastAsia="Calibri" w:hAnsi="Times New Roman" w:cs="Times New Roman"/>
        </w:rPr>
      </w:pPr>
      <w:r w:rsidRPr="004C6CCE">
        <w:rPr>
          <w:rFonts w:ascii="Segoe UI" w:eastAsia="Calibri" w:hAnsi="Segoe UI" w:cs="Segoe UI"/>
          <w:color w:val="212529"/>
          <w:sz w:val="23"/>
          <w:szCs w:val="23"/>
          <w:shd w:val="clear" w:color="auto" w:fill="FFFFFF"/>
          <w:lang/>
        </w:rPr>
        <w:t>Circumstantial evidence that does not exclude reasonable alternative hypotheses cannot sustain a criminal conviction; conviction and sentence quashed.</w:t>
      </w:r>
      <w:r w:rsidRPr="004C6CCE">
        <w:rPr>
          <w:rFonts w:ascii="Segoe UI" w:eastAsia="Calibri" w:hAnsi="Segoe UI" w:cs="Segoe UI"/>
          <w:i/>
          <w:iCs/>
          <w:color w:val="212529"/>
          <w:sz w:val="23"/>
          <w:szCs w:val="23"/>
          <w:shd w:val="clear" w:color="auto" w:fill="FFFFFF"/>
          <w:lang/>
        </w:rPr>
        <w:t xml:space="preserve"> Circumstantial evidence – must form complete and unbroken chain pointing irresistibly to guilt; burden of proof beyond reasonable doubt; inconsistencies and hearsay weakening prosecution case; appellate interference with concurrent findings where they are unsupported or result from misdirection; sentencing jurisdiction/confirmation requirement for Primary Courts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4C6CCE" w:rsidRPr="004C6CCE" w14:paraId="55ED0EBB" w14:textId="77777777" w:rsidTr="00CE14E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14:paraId="18D59CCC" w14:textId="77777777" w:rsidR="004C6CCE" w:rsidRPr="004C6CCE" w:rsidRDefault="004C6CCE" w:rsidP="004C6CC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</w:pPr>
            <w:r w:rsidRPr="004C6CCE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  <w:t>31 March 2026</w:t>
            </w:r>
          </w:p>
        </w:tc>
      </w:tr>
      <w:tr w:rsidR="004C6CCE" w:rsidRPr="004C6CCE" w14:paraId="7922E11D" w14:textId="77777777" w:rsidTr="00CE14ED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4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25B06DC" w14:textId="77777777" w:rsidR="004C6CCE" w:rsidRPr="004C6CCE" w:rsidRDefault="004C6CCE" w:rsidP="004C6CCE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</w:pPr>
            <w:hyperlink r:id="rId5" w:history="1">
              <w:r w:rsidRPr="004C6CCE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/>
                  <w14:ligatures w14:val="none"/>
                </w:rPr>
                <w:t>Madulu Pius Madulu vs Tunu Mohamed (Criminal Appeal No. 19449 of 2025) [2026] TZHC 1098 (31 March 2026)</w:t>
              </w:r>
            </w:hyperlink>
          </w:p>
        </w:tc>
      </w:tr>
    </w:tbl>
    <w:p w14:paraId="78021E9E" w14:textId="77777777" w:rsidR="004C6CCE" w:rsidRDefault="004C6CCE"/>
    <w:sectPr w:rsidR="004C6C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76475"/>
    <w:multiLevelType w:val="hybridMultilevel"/>
    <w:tmpl w:val="0D802D76"/>
    <w:lvl w:ilvl="0" w:tplc="F21482E4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i/>
        <w:color w:val="212529"/>
        <w:sz w:val="23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235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CCE"/>
    <w:rsid w:val="00372C1B"/>
    <w:rsid w:val="004C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B16A7"/>
  <w15:chartTrackingRefBased/>
  <w15:docId w15:val="{E63EBB44-1BA5-46D6-BFB9-AEC732F5D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6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6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6C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6C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6C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6C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6C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6C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6C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6C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6C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6C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6CC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6CC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6C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6C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6C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6C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6C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6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6C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6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6C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6C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6C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6CC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6C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6CC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6CC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nzlii.org/en/akn/tz/judgment/tzhc/2026/1098/eng@2026-03-3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BABY MAMA</dc:creator>
  <cp:keywords/>
  <dc:description/>
  <cp:lastModifiedBy>BABY MAMA</cp:lastModifiedBy>
  <cp:revision>1</cp:revision>
  <dcterms:created xsi:type="dcterms:W3CDTF">2026-04-07T06:46:00Z</dcterms:created>
  <dcterms:modified xsi:type="dcterms:W3CDTF">2026-04-07T06:49:00Z</dcterms:modified>
</cp:coreProperties>
</file>