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DF67" w14:textId="77777777" w:rsidR="003174BF" w:rsidRPr="003174BF" w:rsidRDefault="003174BF" w:rsidP="003174BF">
      <w:pPr>
        <w:numPr>
          <w:ilvl w:val="0"/>
          <w:numId w:val="1"/>
        </w:numPr>
        <w:spacing w:line="259" w:lineRule="auto"/>
        <w:contextualSpacing/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</w:pPr>
      <w:r w:rsidRPr="003174BF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>Advocates' fees – GN 515/1991 – Rule 40 and Schedules – omission of Schedule IX construed as lapsus; Schedule IX (fees for contentious proceedings) applies to instruction fees; perusal is a separate taxable item; liquidated vs unliquidated claims; taxing officer’s discretion must be judicially exercised; remittal for taxation with directions.</w:t>
      </w:r>
    </w:p>
    <w:p w14:paraId="7FCB2584" w14:textId="77777777" w:rsidR="003174BF" w:rsidRPr="003174BF" w:rsidRDefault="003174BF" w:rsidP="003174BF">
      <w:pPr>
        <w:shd w:val="clear" w:color="auto" w:fill="FFFFFF"/>
        <w:spacing w:after="120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/>
          <w14:ligatures w14:val="none"/>
        </w:rPr>
      </w:pPr>
      <w:hyperlink r:id="rId5" w:tgtFrame="_blank" w:history="1">
        <w:r w:rsidRPr="003174BF">
          <w:rPr>
            <w:rFonts w:ascii="Segoe UI" w:eastAsia="Times New Roman" w:hAnsi="Segoe UI" w:cs="Segoe UI"/>
            <w:color w:val="0076B3"/>
            <w:kern w:val="0"/>
            <w:sz w:val="20"/>
            <w:szCs w:val="20"/>
            <w:u w:val="single"/>
            <w:lang/>
            <w14:ligatures w14:val="none"/>
          </w:rPr>
          <w:t>Kalunga and Company Advocate vs National Bank of Commerce Ltd (Civil Reference No 4 of 2004) [2004] TZHC 77 (10 September 2004)</w:t>
        </w:r>
      </w:hyperlink>
    </w:p>
    <w:p w14:paraId="4CD81C4B" w14:textId="77777777" w:rsidR="003174BF" w:rsidRDefault="003174BF"/>
    <w:sectPr w:rsidR="00317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17723"/>
    <w:multiLevelType w:val="hybridMultilevel"/>
    <w:tmpl w:val="602286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27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BF"/>
    <w:rsid w:val="003174BF"/>
    <w:rsid w:val="0055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BC259"/>
  <w15:chartTrackingRefBased/>
  <w15:docId w15:val="{A0C9CC4B-C37D-4B51-81C7-47B264A6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4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4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4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4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4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hc/2004/77/eng@2004-09-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2026-04-07T11:04:00Z</dcterms:created>
  <dcterms:modified xsi:type="dcterms:W3CDTF">2026-04-07T11:06:00Z</dcterms:modified>
</cp:coreProperties>
</file>