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EF2" w:rsidRPr="00FE4EF2" w:rsidRDefault="00FE4EF2" w:rsidP="00FE4EF2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outlineLvl w:val="4"/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</w:pPr>
      <w:r w:rsidRPr="00FE4EF2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– validity of Act No. 34 of 1994 (11th Amendment) – restriction of presidential and parliamentary candidacy to party nominees – proportionality test – burden on State to justify limits on fundamental rights – role of international human rights instruments – remedial declaration and direction to legislature.</w:t>
      </w:r>
    </w:p>
    <w:p w:rsidR="00FE4EF2" w:rsidRDefault="00FE4EF2" w:rsidP="00FE4EF2">
      <w:hyperlink r:id="rId5" w:tgtFrame="_blank" w:history="1">
        <w:r w:rsidRPr="00FE4EF2">
          <w:rPr>
            <w:rFonts w:ascii="Segoe UI" w:eastAsia="Times New Roman" w:hAnsi="Segoe UI" w:cs="Segoe UI"/>
            <w:color w:val="0076B3"/>
            <w:sz w:val="20"/>
            <w:szCs w:val="20"/>
            <w:u w:val="single"/>
            <w:lang/>
          </w:rPr>
          <w:t>Christopher Mtikila vs Attorney General (Misc. Civil Cause 10 of 2005) [2006] TZHC 126 (5 May 2006)</w:t>
        </w:r>
      </w:hyperlink>
      <w:bookmarkStart w:id="0" w:name="_GoBack"/>
      <w:bookmarkEnd w:id="0"/>
    </w:p>
    <w:sectPr w:rsidR="00FE4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D15AC"/>
    <w:multiLevelType w:val="hybridMultilevel"/>
    <w:tmpl w:val="2DA6AD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F2"/>
    <w:rsid w:val="00F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C717E-8742-4372-BCBC-BA9DBE11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hc/2006/126/eng@2006-05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2026-04-06T09:30:00Z</dcterms:created>
  <dcterms:modified xsi:type="dcterms:W3CDTF">2026-04-06T09:30:00Z</dcterms:modified>
</cp:coreProperties>
</file>