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59A" w:rsidRDefault="0027359A" w:rsidP="002735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reliance on victim's testimony 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— credibility and probative value; medical evidence — discrepancies in cause and timing; delay in reporting; failure to call material witnesses; need for scientific linkage of venereal disease to accused.</w:t>
      </w:r>
    </w:p>
    <w:tbl>
      <w:tblPr>
        <w:tblW w:w="12465" w:type="dxa"/>
        <w:shd w:val="clear" w:color="auto" w:fill="FFFFFF"/>
        <w:tblLook w:val="04A0" w:firstRow="1" w:lastRow="0" w:firstColumn="1" w:lastColumn="0" w:noHBand="0" w:noVBand="1"/>
      </w:tblPr>
      <w:tblGrid>
        <w:gridCol w:w="12465"/>
      </w:tblGrid>
      <w:tr w:rsidR="0027359A" w:rsidTr="0027359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359A" w:rsidRDefault="0027359A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13 March 2026</w:t>
            </w:r>
          </w:p>
        </w:tc>
      </w:tr>
      <w:tr w:rsidR="0027359A" w:rsidTr="0027359A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359A" w:rsidRDefault="0027359A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>
                <w:rPr>
                  <w:rStyle w:val="Hyperlink"/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lang/>
                  <w14:ligatures w14:val="none"/>
                </w:rPr>
                <w:t>Alex Victor @ Gasper vs Republic (Criminal Appeal No. 642 of 2023) [2026] TZCA 312 (13 March 2026)</w:t>
              </w:r>
            </w:hyperlink>
          </w:p>
        </w:tc>
      </w:tr>
    </w:tbl>
    <w:p w:rsidR="0027359A" w:rsidRDefault="0027359A"/>
    <w:sectPr w:rsidR="00273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9A"/>
    <w:rsid w:val="0027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C9A00D-94E1-4EFC-95CD-1720170D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7359A"/>
    <w:pPr>
      <w:spacing w:line="256" w:lineRule="auto"/>
    </w:pPr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5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735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9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312/eng@2026-03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2026-04-05T17:45:00Z</dcterms:created>
  <dcterms:modified xsi:type="dcterms:W3CDTF">2026-04-05T17:45:00Z</dcterms:modified>
</cp:coreProperties>
</file>