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E11" w:rsidRPr="00D27AFC" w:rsidRDefault="00E02E11" w:rsidP="00E02E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proof and admissibility of wills &amp;mdash; missing trial exhibit &amp;mdash; appellate compositional issues &amp;mdash; right to be heard &amp;mdash; decision on incomplete record vitiates judgment &amp;mdash; remittal for rehearing</w:t>
      </w:r>
      <w:r w:rsidRPr="00D27AFC">
        <w:t xml:space="preserve"> </w:t>
      </w:r>
      <w:hyperlink r:id="rId5" w:history="1">
        <w:r>
          <w:rPr>
            <w:rStyle w:val="Hyperlink"/>
            <w:rFonts w:ascii="Segoe UI" w:hAnsi="Segoe UI" w:cs="Segoe UI"/>
            <w:color w:val="005E8F"/>
            <w:sz w:val="23"/>
            <w:szCs w:val="23"/>
            <w:shd w:val="clear" w:color="auto" w:fill="FFFFFF"/>
          </w:rPr>
          <w:t>Rose Nestory Kabumbile vs Gibson Kabumbile (Civil Appeal No. 234 of 2024) [2026] TZCA 156 (27 February 2026)</w:t>
        </w:r>
      </w:hyperlink>
    </w:p>
    <w:p w:rsidR="00E02E11" w:rsidRDefault="00E02E11">
      <w:bookmarkStart w:id="0" w:name="_GoBack"/>
      <w:bookmarkEnd w:id="0"/>
    </w:p>
    <w:sectPr w:rsidR="00E02E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E11"/>
    <w:rsid w:val="00E0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B3F604-AC92-48F1-8D5E-25E37C06E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2E11"/>
    <w:pPr>
      <w:ind w:left="720"/>
      <w:contextualSpacing/>
    </w:pPr>
    <w:rPr>
      <w:kern w:val="2"/>
      <w:lang/>
      <w14:ligatures w14:val="standardContextual"/>
    </w:rPr>
  </w:style>
  <w:style w:type="character" w:styleId="Hyperlink">
    <w:name w:val="Hyperlink"/>
    <w:basedOn w:val="DefaultParagraphFont"/>
    <w:uiPriority w:val="99"/>
    <w:semiHidden/>
    <w:unhideWhenUsed/>
    <w:rsid w:val="00E02E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156/eng@2026-02-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2026-04-05T18:34:00Z</dcterms:created>
  <dcterms:modified xsi:type="dcterms:W3CDTF">2026-04-05T18:35:00Z</dcterms:modified>
</cp:coreProperties>
</file>