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39B" w:rsidRPr="001B71CC" w:rsidRDefault="008D139B" w:rsidP="008D13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 xml:space="preserve"> PF3 properly admitted; Evidence Act s.152 </w:t>
      </w:r>
      <w:bookmarkEnd w:id="0"/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— no fixed number of witnesses but adverse inference when material witnesses omitted; Sexual offences — penetration and age proved but identity not established beyond reasonable doubt; Second appeal — interference warranted where lower courts misapprehend evidence.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8D139B" w:rsidRPr="00A03FCF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8D139B" w:rsidRPr="00A03FCF" w:rsidRDefault="008D139B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A03FC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5 March 2026</w:t>
            </w:r>
          </w:p>
        </w:tc>
      </w:tr>
      <w:tr w:rsidR="008D139B" w:rsidRPr="00A03FCF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8D139B" w:rsidRPr="00A03FCF" w:rsidRDefault="008D139B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A03FC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Lukeja Ndalahwa vs Republic (Criminal Appeal No. 873 of 2023) [2026] TZCA 250 (5 March 2026)</w:t>
              </w:r>
            </w:hyperlink>
          </w:p>
        </w:tc>
      </w:tr>
    </w:tbl>
    <w:p w:rsidR="008D139B" w:rsidRPr="008D139B" w:rsidRDefault="008D139B" w:rsidP="008D139B"/>
    <w:sectPr w:rsidR="008D139B" w:rsidRPr="008D1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9B"/>
    <w:rsid w:val="008D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01E2A-F9CA-4593-BB57-8F5BA676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139B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50/eng@2026-03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2026-04-05T18:08:00Z</dcterms:created>
  <dcterms:modified xsi:type="dcterms:W3CDTF">2026-04-05T18:09:00Z</dcterms:modified>
</cp:coreProperties>
</file>