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667" w:rsidRDefault="00884667"/>
    <w:sectPr w:rsidR="008846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C71" w:rsidRDefault="00F27C71" w:rsidP="00884667">
      <w:pPr>
        <w:spacing w:after="0" w:line="240" w:lineRule="auto"/>
      </w:pPr>
      <w:r>
        <w:separator/>
      </w:r>
    </w:p>
  </w:endnote>
  <w:endnote w:type="continuationSeparator" w:id="0">
    <w:p w:rsidR="00F27C71" w:rsidRDefault="00F27C71" w:rsidP="00884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667" w:rsidRDefault="008846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667" w:rsidRDefault="008846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667" w:rsidRDefault="008846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C71" w:rsidRDefault="00F27C71" w:rsidP="00884667">
      <w:pPr>
        <w:spacing w:after="0" w:line="240" w:lineRule="auto"/>
      </w:pPr>
      <w:r>
        <w:separator/>
      </w:r>
    </w:p>
  </w:footnote>
  <w:footnote w:type="continuationSeparator" w:id="0">
    <w:p w:rsidR="00F27C71" w:rsidRDefault="00F27C71" w:rsidP="00884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667" w:rsidRDefault="008846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667" w:rsidRPr="00884667" w:rsidRDefault="00884667" w:rsidP="00884667">
    <w:pPr>
      <w:numPr>
        <w:ilvl w:val="0"/>
        <w:numId w:val="1"/>
      </w:numPr>
      <w:contextualSpacing/>
      <w:rPr>
        <w:rFonts w:ascii="Times New Roman" w:eastAsia="Calibri" w:hAnsi="Times New Roman" w:cs="Times New Roman"/>
        <w:color w:val="EE0000"/>
        <w:kern w:val="2"/>
        <w:sz w:val="24"/>
        <w:szCs w:val="24"/>
        <w14:ligatures w14:val="standardContextual"/>
      </w:rPr>
    </w:pPr>
    <w:bookmarkStart w:id="0" w:name="_GoBack"/>
    <w:r w:rsidRPr="00884667">
      <w:rPr>
        <w:rFonts w:ascii="Segoe UI" w:eastAsia="Calibri" w:hAnsi="Segoe UI" w:cs="Segoe UI"/>
        <w:i/>
        <w:iCs/>
        <w:kern w:val="2"/>
        <w:sz w:val="23"/>
        <w:szCs w:val="23"/>
        <w:shd w:val="clear" w:color="auto" w:fill="FFFFFF"/>
        <w:lang/>
        <w14:ligatures w14:val="standardContextual"/>
      </w:rPr>
      <w:t xml:space="preserve">Hostile witness procedure </w:t>
    </w:r>
    <w:bookmarkEnd w:id="0"/>
    <w:r w:rsidRPr="00884667">
      <w:rPr>
        <w:rFonts w:ascii="Segoe UI" w:eastAsia="Calibri" w:hAnsi="Segoe UI" w:cs="Segoe UI"/>
        <w:i/>
        <w:iCs/>
        <w:kern w:val="2"/>
        <w:sz w:val="23"/>
        <w:szCs w:val="23"/>
        <w:shd w:val="clear" w:color="auto" w:fill="FFFFFF"/>
        <w:lang/>
        <w14:ligatures w14:val="standardContextual"/>
      </w:rPr>
      <w:t>— requirements before treating a witness as hostile; Evidence — admissibility and voluntariness of cautioned/confessional statements (s.27 Evidence Act); Confession as sole basis for conviction — need for court satisfaction of truth and reliability</w:t>
    </w:r>
    <w:r w:rsidRPr="00884667">
      <w:rPr>
        <w:rFonts w:ascii="Segoe UI" w:eastAsia="Calibri" w:hAnsi="Segoe UI" w:cs="Segoe UI"/>
        <w:i/>
        <w:iCs/>
        <w:color w:val="EE0000"/>
        <w:kern w:val="2"/>
        <w:sz w:val="23"/>
        <w:szCs w:val="23"/>
        <w:shd w:val="clear" w:color="auto" w:fill="FFFFFF"/>
        <w:lang/>
        <w14:ligatures w14:val="standardContextual"/>
      </w:rPr>
      <w:t>.</w:t>
    </w:r>
  </w:p>
  <w:tbl>
    <w:tblPr>
      <w:tblW w:w="12465" w:type="dxa"/>
      <w:shd w:val="clear" w:color="auto" w:fill="FFFFFF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2465"/>
    </w:tblGrid>
    <w:tr w:rsidR="00884667" w:rsidRPr="00884667" w:rsidTr="00EE1649">
      <w:tc>
        <w:tcPr>
          <w:tcW w:w="0" w:type="auto"/>
          <w:tcBorders>
            <w:top w:val="single" w:sz="2" w:space="0" w:color="auto"/>
            <w:left w:val="single" w:sz="2" w:space="0" w:color="auto"/>
            <w:bottom w:val="single" w:sz="6" w:space="0" w:color="DEE2E6"/>
            <w:right w:val="single" w:sz="2" w:space="0" w:color="auto"/>
          </w:tcBorders>
          <w:shd w:val="clear" w:color="auto" w:fill="FFFFFF"/>
          <w:noWrap/>
          <w:vAlign w:val="center"/>
          <w:hideMark/>
        </w:tcPr>
        <w:p w:rsidR="00884667" w:rsidRPr="00884667" w:rsidRDefault="00884667" w:rsidP="00884667">
          <w:pPr>
            <w:spacing w:after="0" w:line="240" w:lineRule="auto"/>
            <w:jc w:val="right"/>
            <w:rPr>
              <w:rFonts w:ascii="Segoe UI" w:eastAsia="Times New Roman" w:hAnsi="Segoe UI" w:cs="Segoe UI"/>
              <w:color w:val="212529"/>
              <w:sz w:val="23"/>
              <w:szCs w:val="23"/>
              <w:lang/>
            </w:rPr>
          </w:pPr>
          <w:r w:rsidRPr="00884667">
            <w:rPr>
              <w:rFonts w:ascii="Segoe UI" w:eastAsia="Times New Roman" w:hAnsi="Segoe UI" w:cs="Segoe UI"/>
              <w:color w:val="212529"/>
              <w:sz w:val="23"/>
              <w:szCs w:val="23"/>
              <w:lang/>
            </w:rPr>
            <w:br/>
            <w:t>24 February 2026</w:t>
          </w:r>
        </w:p>
      </w:tc>
    </w:tr>
    <w:tr w:rsidR="00884667" w:rsidRPr="00884667" w:rsidTr="00EE1649">
      <w:tc>
        <w:tcPr>
          <w:tcW w:w="12465" w:type="dxa"/>
          <w:tcBorders>
            <w:top w:val="single" w:sz="2" w:space="0" w:color="auto"/>
            <w:left w:val="single" w:sz="2" w:space="0" w:color="auto"/>
            <w:bottom w:val="single" w:sz="6" w:space="0" w:color="DEE2E6"/>
            <w:right w:val="single" w:sz="2" w:space="0" w:color="auto"/>
          </w:tcBorders>
          <w:shd w:val="clear" w:color="auto" w:fill="FFFFFF"/>
          <w:vAlign w:val="center"/>
          <w:hideMark/>
        </w:tcPr>
        <w:p w:rsidR="00884667" w:rsidRPr="00884667" w:rsidRDefault="00884667" w:rsidP="00884667">
          <w:pPr>
            <w:spacing w:after="0" w:line="240" w:lineRule="auto"/>
            <w:rPr>
              <w:rFonts w:ascii="Segoe UI" w:eastAsia="Times New Roman" w:hAnsi="Segoe UI" w:cs="Segoe UI"/>
              <w:color w:val="212529"/>
              <w:sz w:val="23"/>
              <w:szCs w:val="23"/>
              <w:lang/>
            </w:rPr>
          </w:pPr>
          <w:hyperlink r:id="rId1" w:history="1">
            <w:r w:rsidRPr="00884667">
              <w:rPr>
                <w:rFonts w:ascii="Segoe UI" w:eastAsia="Times New Roman" w:hAnsi="Segoe UI" w:cs="Segoe UI"/>
                <w:color w:val="005E8F"/>
                <w:sz w:val="23"/>
                <w:szCs w:val="23"/>
                <w:u w:val="single"/>
                <w:lang/>
              </w:rPr>
              <w:t>Maduhu Malelemba @ Mwigeti vs Republic (Criminal Appeal No. 541 of 2023) [2026] TZCA 93 (24 February 2026)</w:t>
            </w:r>
          </w:hyperlink>
        </w:p>
      </w:tc>
    </w:tr>
  </w:tbl>
  <w:p w:rsidR="00884667" w:rsidRDefault="008846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667" w:rsidRDefault="008846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67"/>
    <w:rsid w:val="00884667"/>
    <w:rsid w:val="00F2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F1097D3-FCD9-4666-9B1D-39268529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667"/>
  </w:style>
  <w:style w:type="paragraph" w:styleId="Footer">
    <w:name w:val="footer"/>
    <w:basedOn w:val="Normal"/>
    <w:link w:val="FooterChar"/>
    <w:uiPriority w:val="99"/>
    <w:unhideWhenUsed/>
    <w:rsid w:val="00884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anzlii.org/en/akn/tz/judgment/tzca/2026/93/eng@2026-02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2026-04-05T18:51:00Z</dcterms:created>
  <dcterms:modified xsi:type="dcterms:W3CDTF">2026-04-05T18:55:00Z</dcterms:modified>
</cp:coreProperties>
</file>