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7DF7" w:rsidRPr="00DA7DF7" w:rsidRDefault="00DA7DF7" w:rsidP="00DA7DF7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DA7DF7">
        <w:rPr>
          <w:rFonts w:ascii="Segoe UI" w:eastAsia="Calibri" w:hAnsi="Segoe UI" w:cs="Segoe UI"/>
          <w:i/>
          <w:iCs/>
          <w:color w:val="212529"/>
          <w:kern w:val="2"/>
          <w:sz w:val="23"/>
          <w:szCs w:val="23"/>
          <w:shd w:val="clear" w:color="auto" w:fill="FFFFFF"/>
          <w:lang/>
          <w14:ligatures w14:val="standardContextual"/>
        </w:rPr>
        <w:t xml:space="preserve">admissibility: </w:t>
      </w:r>
      <w:bookmarkStart w:id="0" w:name="_GoBack"/>
      <w:r w:rsidRPr="00DA7DF7">
        <w:rPr>
          <w:rFonts w:ascii="Segoe UI" w:eastAsia="Calibri" w:hAnsi="Segoe UI" w:cs="Segoe UI"/>
          <w:i/>
          <w:iCs/>
          <w:color w:val="212529"/>
          <w:kern w:val="2"/>
          <w:sz w:val="23"/>
          <w:szCs w:val="23"/>
          <w:shd w:val="clear" w:color="auto" w:fill="FFFFFF"/>
          <w:lang/>
          <w14:ligatures w14:val="standardContextual"/>
        </w:rPr>
        <w:t>exhibits cleared for admission must be read aloud</w:t>
      </w:r>
      <w:bookmarkEnd w:id="0"/>
      <w:r w:rsidRPr="00DA7DF7">
        <w:rPr>
          <w:rFonts w:ascii="Segoe UI" w:eastAsia="Calibri" w:hAnsi="Segoe UI" w:cs="Segoe UI"/>
          <w:i/>
          <w:iCs/>
          <w:color w:val="212529"/>
          <w:kern w:val="2"/>
          <w:sz w:val="23"/>
          <w:szCs w:val="23"/>
          <w:shd w:val="clear" w:color="auto" w:fill="FFFFFF"/>
          <w:lang/>
          <w14:ligatures w14:val="standardContextual"/>
        </w:rPr>
        <w:t>; failure to do so is fatal and requires expungement. Evidence &amp;mdash; identification of vehicle: registration number and physical features corroborated by a registration card and seizure testimony may suffice; chassis number not always necessary. Evidence &amp;mdash; recent possession and seizure testimony: oral evidence of seizure in presence of independent witnesses can link accused to recovered property despite exclusion of some documents. Criminal appeal &amp;mdash; conviction upheld where remaining credible evidence sustains link between accused and offence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DA7DF7" w:rsidRPr="00DA7DF7" w:rsidTr="00EE16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:rsidR="00DA7DF7" w:rsidRPr="00DA7DF7" w:rsidRDefault="00DA7DF7" w:rsidP="00DA7DF7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sz w:val="23"/>
                <w:szCs w:val="23"/>
                <w:lang/>
              </w:rPr>
            </w:pPr>
            <w:r w:rsidRPr="00DA7DF7">
              <w:rPr>
                <w:rFonts w:ascii="Segoe UI" w:eastAsia="Times New Roman" w:hAnsi="Segoe UI" w:cs="Segoe UI"/>
                <w:color w:val="212529"/>
                <w:sz w:val="23"/>
                <w:szCs w:val="23"/>
                <w:lang/>
              </w:rPr>
              <w:br/>
              <w:t>25 February 2026</w:t>
            </w:r>
          </w:p>
        </w:tc>
      </w:tr>
      <w:tr w:rsidR="00DA7DF7" w:rsidRPr="00DA7DF7" w:rsidTr="00EE1649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A7DF7" w:rsidRPr="00DA7DF7" w:rsidRDefault="00DA7DF7" w:rsidP="00DA7DF7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3"/>
                <w:szCs w:val="23"/>
                <w:lang/>
              </w:rPr>
            </w:pPr>
            <w:hyperlink r:id="rId5" w:history="1">
              <w:r w:rsidRPr="00DA7DF7">
                <w:rPr>
                  <w:rFonts w:ascii="Segoe UI" w:eastAsia="Times New Roman" w:hAnsi="Segoe UI" w:cs="Segoe UI"/>
                  <w:color w:val="005E8F"/>
                  <w:sz w:val="23"/>
                  <w:szCs w:val="23"/>
                  <w:u w:val="single"/>
                  <w:lang/>
                </w:rPr>
                <w:t>Kelvin Benedicto Simon vs Republic (Criminal Appeal No. 259 of 2023) [2026] TZCA 112 (25 February 2026)</w:t>
              </w:r>
            </w:hyperlink>
          </w:p>
        </w:tc>
      </w:tr>
    </w:tbl>
    <w:p w:rsidR="00DA7DF7" w:rsidRDefault="00DA7DF7"/>
    <w:sectPr w:rsidR="00DA7D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76475"/>
    <w:multiLevelType w:val="hybridMultilevel"/>
    <w:tmpl w:val="0D802D76"/>
    <w:lvl w:ilvl="0" w:tplc="F21482E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i/>
        <w:color w:val="212529"/>
        <w:sz w:val="23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DF7"/>
    <w:rsid w:val="00DA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99EF05-D24F-4BB4-9484-0534D6615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nzlii.org/en/akn/tz/judgment/tzca/2026/112/eng@2026-02-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 MAMA</dc:creator>
  <cp:keywords/>
  <dc:description/>
  <cp:lastModifiedBy>BABY MAMA</cp:lastModifiedBy>
  <cp:revision>1</cp:revision>
  <dcterms:created xsi:type="dcterms:W3CDTF">2026-04-05T18:45:00Z</dcterms:created>
  <dcterms:modified xsi:type="dcterms:W3CDTF">2026-04-05T18:48:00Z</dcterms:modified>
</cp:coreProperties>
</file>