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8F0" w:rsidRPr="00E348F0" w:rsidRDefault="00E348F0" w:rsidP="00E348F0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348F0">
        <w:rPr>
          <w:rFonts w:ascii="Segoe UI" w:eastAsia="Calibri" w:hAnsi="Segoe UI" w:cs="Segoe UI"/>
          <w:i/>
          <w:iCs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  <w:t>credibility and medical corroboration; Delay in reporting &amp;ndash; excusable where victim is a child and feared threats; Failure to call a witness &amp;ndash; no adverse inference where evidence already complete; Defence as afterthought &amp;ndash; failure to challenge material points in cross-examination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E348F0" w:rsidRPr="00E348F0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E348F0" w:rsidRPr="00E348F0" w:rsidRDefault="00E348F0" w:rsidP="00E348F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r w:rsidRPr="00E348F0"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  <w:t>26 February 2026</w:t>
            </w:r>
          </w:p>
        </w:tc>
      </w:tr>
      <w:tr w:rsidR="00E348F0" w:rsidRPr="00E348F0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348F0" w:rsidRPr="00E348F0" w:rsidRDefault="00E348F0" w:rsidP="00E348F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hyperlink r:id="rId5" w:history="1">
              <w:r w:rsidRPr="00E348F0">
                <w:rPr>
                  <w:rFonts w:ascii="Segoe UI" w:eastAsia="Times New Roman" w:hAnsi="Segoe UI" w:cs="Segoe UI"/>
                  <w:color w:val="005E8F"/>
                  <w:sz w:val="23"/>
                  <w:szCs w:val="23"/>
                  <w:u w:val="single"/>
                  <w:lang/>
                </w:rPr>
                <w:t>Idrisa Athuman @ Naleja vs Republic (Criminal Appeal No. 666 of 2023) [2026] TZCA 128 (26 February 2026)</w:t>
              </w:r>
            </w:hyperlink>
          </w:p>
        </w:tc>
      </w:tr>
    </w:tbl>
    <w:p w:rsidR="00E348F0" w:rsidRDefault="00E348F0">
      <w:bookmarkStart w:id="0" w:name="_GoBack"/>
      <w:bookmarkEnd w:id="0"/>
    </w:p>
    <w:sectPr w:rsidR="00E34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8F0"/>
    <w:rsid w:val="00E3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A869F7-6CB8-403D-8A7A-EE4374DA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128/eng@2026-02-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2026-04-05T18:41:00Z</dcterms:created>
  <dcterms:modified xsi:type="dcterms:W3CDTF">2026-04-05T18:43:00Z</dcterms:modified>
</cp:coreProperties>
</file>