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26A7D" w:rsidRPr="00245F72" w:rsidRDefault="00E26A7D" w:rsidP="00E26A7D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:lang w:val="en-US"/>
        </w:rPr>
      </w:pPr>
      <w:bookmarkStart w:id="0" w:name="_GoBack"/>
      <w:r>
        <w:rPr>
          <w:rFonts w:ascii="Segoe UI" w:hAnsi="Segoe UI" w:cs="Segoe UI"/>
          <w:i/>
          <w:iCs/>
          <w:color w:val="212529"/>
          <w:sz w:val="23"/>
          <w:szCs w:val="23"/>
          <w:shd w:val="clear" w:color="auto" w:fill="FFFFFF"/>
        </w:rPr>
        <w:t xml:space="preserve">Circumstantial evidence must be "water-tight" and point irresistibly to accused </w:t>
      </w:r>
      <w:bookmarkEnd w:id="0"/>
      <w:r>
        <w:rPr>
          <w:rFonts w:ascii="Segoe UI" w:hAnsi="Segoe UI" w:cs="Segoe UI"/>
          <w:i/>
          <w:iCs/>
          <w:color w:val="212529"/>
          <w:sz w:val="23"/>
          <w:szCs w:val="23"/>
          <w:shd w:val="clear" w:color="auto" w:fill="FFFFFF"/>
        </w:rPr>
        <w:t>— Importance of medical evidence/post-mortem where cause of death is contested — Failure to call doctor or tender PMR undermines prosecution case — Proof beyond reasonable doubt required.</w:t>
      </w:r>
    </w:p>
    <w:tbl>
      <w:tblPr>
        <w:tblW w:w="1246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2465"/>
      </w:tblGrid>
      <w:tr w:rsidR="00E26A7D" w:rsidRPr="0049524F" w:rsidTr="00EE1649"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DEE2E6"/>
              <w:right w:val="single" w:sz="2" w:space="0" w:color="auto"/>
            </w:tcBorders>
            <w:shd w:val="clear" w:color="auto" w:fill="FFFFFF"/>
            <w:noWrap/>
            <w:vAlign w:val="center"/>
            <w:hideMark/>
          </w:tcPr>
          <w:p w:rsidR="00E26A7D" w:rsidRPr="0049524F" w:rsidRDefault="00E26A7D" w:rsidP="00EE1649">
            <w:pPr>
              <w:spacing w:after="0" w:line="240" w:lineRule="auto"/>
              <w:jc w:val="right"/>
              <w:rPr>
                <w:rFonts w:ascii="Segoe UI" w:eastAsia="Times New Roman" w:hAnsi="Segoe UI" w:cs="Segoe UI"/>
                <w:color w:val="212529"/>
                <w:kern w:val="0"/>
                <w:sz w:val="23"/>
                <w:szCs w:val="23"/>
                <w:lang/>
                <w14:ligatures w14:val="none"/>
              </w:rPr>
            </w:pPr>
            <w:r w:rsidRPr="0049524F">
              <w:rPr>
                <w:rFonts w:ascii="Segoe UI" w:eastAsia="Times New Roman" w:hAnsi="Segoe UI" w:cs="Segoe UI"/>
                <w:color w:val="212529"/>
                <w:kern w:val="0"/>
                <w:sz w:val="23"/>
                <w:szCs w:val="23"/>
                <w:lang/>
                <w14:ligatures w14:val="none"/>
              </w:rPr>
              <w:br/>
              <w:t>2 March 2026</w:t>
            </w:r>
          </w:p>
        </w:tc>
      </w:tr>
      <w:tr w:rsidR="00E26A7D" w:rsidRPr="0049524F" w:rsidTr="00EE1649">
        <w:tc>
          <w:tcPr>
            <w:tcW w:w="12465" w:type="dxa"/>
            <w:tcBorders>
              <w:top w:val="single" w:sz="2" w:space="0" w:color="auto"/>
              <w:left w:val="single" w:sz="2" w:space="0" w:color="auto"/>
              <w:bottom w:val="single" w:sz="6" w:space="0" w:color="DEE2E6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E26A7D" w:rsidRPr="0049524F" w:rsidRDefault="00E26A7D" w:rsidP="00EE1649">
            <w:pPr>
              <w:spacing w:after="0" w:line="240" w:lineRule="auto"/>
              <w:rPr>
                <w:rFonts w:ascii="Segoe UI" w:eastAsia="Times New Roman" w:hAnsi="Segoe UI" w:cs="Segoe UI"/>
                <w:color w:val="212529"/>
                <w:kern w:val="0"/>
                <w:sz w:val="23"/>
                <w:szCs w:val="23"/>
                <w:lang/>
                <w14:ligatures w14:val="none"/>
              </w:rPr>
            </w:pPr>
            <w:hyperlink r:id="rId5" w:history="1">
              <w:r w:rsidRPr="0049524F">
                <w:rPr>
                  <w:rFonts w:ascii="Segoe UI" w:eastAsia="Times New Roman" w:hAnsi="Segoe UI" w:cs="Segoe UI"/>
                  <w:color w:val="005E8F"/>
                  <w:kern w:val="0"/>
                  <w:sz w:val="23"/>
                  <w:szCs w:val="23"/>
                  <w:u w:val="single"/>
                  <w:lang/>
                  <w14:ligatures w14:val="none"/>
                </w:rPr>
                <w:t>Meshack Saguda @ Kumbatia vs Republic (Criminal Appeal No 255 of 2023) [2026] TZCA 204 (2 March 2026)</w:t>
              </w:r>
            </w:hyperlink>
          </w:p>
        </w:tc>
      </w:tr>
    </w:tbl>
    <w:p w:rsidR="00E26A7D" w:rsidRDefault="00E26A7D"/>
    <w:sectPr w:rsidR="00E26A7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B676475"/>
    <w:multiLevelType w:val="hybridMultilevel"/>
    <w:tmpl w:val="0D802D76"/>
    <w:lvl w:ilvl="0" w:tplc="F21482E4">
      <w:start w:val="1"/>
      <w:numFmt w:val="decimal"/>
      <w:lvlText w:val="%1."/>
      <w:lvlJc w:val="left"/>
      <w:pPr>
        <w:ind w:left="720" w:hanging="360"/>
      </w:pPr>
      <w:rPr>
        <w:rFonts w:ascii="Segoe UI" w:hAnsi="Segoe UI" w:cs="Segoe UI" w:hint="default"/>
        <w:i/>
        <w:color w:val="212529"/>
        <w:sz w:val="23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26A7D"/>
    <w:rsid w:val="00E26A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67DD7E96-5FA3-408A-9571-2D62D7E521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  <w:rsid w:val="00E26A7D"/>
    <w:rPr>
      <w:kern w:val="2"/>
      <w:lang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E26A7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tanzlii.org/en/akn/tz/judgment/tzca/2026/204/eng@2026-03-02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70</Words>
  <Characters>401</Characters>
  <Application>Microsoft Office Word</Application>
  <DocSecurity>0</DocSecurity>
  <Lines>3</Lines>
  <Paragraphs>1</Paragraphs>
  <ScaleCrop>false</ScaleCrop>
  <Company/>
  <LinksUpToDate>false</LinksUpToDate>
  <CharactersWithSpaces>470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BABY MAMA</dc:creator>
  <cp:keywords/>
  <dc:description/>
  <cp:lastModifiedBy>BABY MAMA</cp:lastModifiedBy>
  <cp:revision>1</cp:revision>
  <dcterms:created xsi:type="dcterms:W3CDTF">2026-04-05T18:26:00Z</dcterms:created>
  <dcterms:modified xsi:type="dcterms:W3CDTF">2026-04-05T18:31:00Z</dcterms:modified>
</cp:coreProperties>
</file>