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DCB" w:rsidRPr="001B71CC" w:rsidRDefault="00227DCB" w:rsidP="00227D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circumstantial evidence – last person seen with deceased – alibi may create reasonable doubt; Evidence – oral confessions – admissible but weak and require caution; Evidence of seizure – certificate of seizure and seizing officer's testimony necessary to prove chain of custody; Prosecution duty – call material witnesses or risk adverse inference.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227DCB" w:rsidRPr="003C29BE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227DCB" w:rsidRPr="003C29BE" w:rsidRDefault="00227DCB" w:rsidP="00EE164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r w:rsidRPr="003C29BE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  <w:br/>
              <w:t>5 March 2026</w:t>
            </w:r>
          </w:p>
        </w:tc>
      </w:tr>
      <w:tr w:rsidR="00227DCB" w:rsidRPr="003C29BE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227DCB" w:rsidRPr="003C29BE" w:rsidRDefault="00227DCB" w:rsidP="00EE1649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/>
                <w14:ligatures w14:val="none"/>
              </w:rPr>
            </w:pPr>
            <w:hyperlink r:id="rId5" w:history="1">
              <w:r w:rsidRPr="003C29BE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/>
                  <w14:ligatures w14:val="none"/>
                </w:rPr>
                <w:t>Paskazia Andrew Sindano @ Mwana Andrew vs Republic (Criminal Appeal No. 261 of 2023) [2026] TZCA 242 (5 March 2026)</w:t>
              </w:r>
            </w:hyperlink>
          </w:p>
        </w:tc>
      </w:tr>
    </w:tbl>
    <w:p w:rsidR="00227DCB" w:rsidRDefault="00227DCB">
      <w:bookmarkStart w:id="0" w:name="_GoBack"/>
      <w:bookmarkEnd w:id="0"/>
    </w:p>
    <w:sectPr w:rsidR="00227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CB"/>
    <w:rsid w:val="0022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BF68B-F04B-46C0-ACA3-077E1456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27DCB"/>
    <w:rPr>
      <w:kern w:val="2"/>
      <w:lang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242/eng@2026-03-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2026-04-05T18:08:00Z</dcterms:created>
  <dcterms:modified xsi:type="dcterms:W3CDTF">2026-04-05T18:08:00Z</dcterms:modified>
</cp:coreProperties>
</file>