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F67" w:rsidRPr="004B7F67" w:rsidRDefault="004B7F67" w:rsidP="004B7F6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B7F67">
        <w:rPr>
          <w:rFonts w:ascii="Segoe UI" w:eastAsia="Calibri" w:hAnsi="Segoe UI" w:cs="Segoe UI"/>
          <w:i/>
          <w:iCs/>
          <w:color w:val="212529"/>
          <w:kern w:val="2"/>
          <w:sz w:val="23"/>
          <w:szCs w:val="23"/>
          <w:shd w:val="clear" w:color="auto" w:fill="FFFFFF"/>
          <w:lang/>
          <w14:ligatures w14:val="standardContextual"/>
        </w:rPr>
        <w:t>Child witness competency and promise to tell the truth (Evidence Act s135) &amp;mdash; Admission of documentary exhibits &amp;mdash; Proof of penetration (section 130(4)(a)) and age &amp;mdash; Medical corroboration &amp;mdash; Alibi as afterthought &amp;mdash; Incest provision inapplicable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4B7F67" w:rsidRPr="004B7F67" w:rsidTr="00EE16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:rsidR="004B7F67" w:rsidRPr="004B7F67" w:rsidRDefault="004B7F67" w:rsidP="004B7F67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sz w:val="23"/>
                <w:szCs w:val="23"/>
                <w:lang/>
              </w:rPr>
            </w:pPr>
            <w:r w:rsidRPr="004B7F67">
              <w:rPr>
                <w:rFonts w:ascii="Segoe UI" w:eastAsia="Times New Roman" w:hAnsi="Segoe UI" w:cs="Segoe UI"/>
                <w:color w:val="212529"/>
                <w:sz w:val="23"/>
                <w:szCs w:val="23"/>
                <w:lang/>
              </w:rPr>
              <w:br/>
              <w:t>25 February 2026</w:t>
            </w:r>
          </w:p>
        </w:tc>
      </w:tr>
      <w:tr w:rsidR="004B7F67" w:rsidRPr="004B7F67" w:rsidTr="00EE1649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B7F67" w:rsidRPr="004B7F67" w:rsidRDefault="004B7F67" w:rsidP="004B7F6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3"/>
                <w:szCs w:val="23"/>
                <w:lang/>
              </w:rPr>
            </w:pPr>
            <w:hyperlink r:id="rId5" w:history="1">
              <w:r w:rsidRPr="004B7F67">
                <w:rPr>
                  <w:rFonts w:ascii="Segoe UI" w:eastAsia="Times New Roman" w:hAnsi="Segoe UI" w:cs="Segoe UI"/>
                  <w:color w:val="005E8F"/>
                  <w:sz w:val="23"/>
                  <w:szCs w:val="23"/>
                  <w:u w:val="single"/>
                  <w:lang/>
                </w:rPr>
                <w:t>George Choto vs Republic (Criminal Appeal No. 449 of 2023) [2026] TZCA 116 (25 February 2026)</w:t>
              </w:r>
            </w:hyperlink>
          </w:p>
        </w:tc>
      </w:tr>
    </w:tbl>
    <w:p w:rsidR="004B7F67" w:rsidRDefault="004B7F67">
      <w:bookmarkStart w:id="0" w:name="_GoBack"/>
      <w:bookmarkEnd w:id="0"/>
    </w:p>
    <w:sectPr w:rsidR="004B7F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F67"/>
    <w:rsid w:val="004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7FB60C-4432-45A1-BCE8-4BE14FEC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116/eng@2026-02-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2026-04-05T18:45:00Z</dcterms:created>
  <dcterms:modified xsi:type="dcterms:W3CDTF">2026-04-05T18:46:00Z</dcterms:modified>
</cp:coreProperties>
</file>