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079" w:rsidRPr="00562BAF" w:rsidRDefault="00D43079" w:rsidP="00D43079">
      <w:pPr>
        <w:spacing w:after="0" w:line="240" w:lineRule="auto"/>
        <w:rPr>
          <w:rFonts w:ascii="Segoe UI" w:eastAsia="Times New Roman" w:hAnsi="Segoe UI" w:cs="Segoe UI"/>
          <w:i/>
          <w:iCs/>
          <w:color w:val="212529"/>
          <w:kern w:val="0"/>
          <w:sz w:val="23"/>
          <w:szCs w:val="23"/>
          <w:lang/>
          <w14:ligatures w14:val="none"/>
        </w:rPr>
      </w:pPr>
      <w:r w:rsidRPr="00562BAF">
        <w:rPr>
          <w:rFonts w:ascii="Segoe UI" w:eastAsia="Times New Roman" w:hAnsi="Segoe UI" w:cs="Segoe UI"/>
          <w:i/>
          <w:iCs/>
          <w:color w:val="212529"/>
          <w:kern w:val="0"/>
          <w:sz w:val="23"/>
          <w:szCs w:val="23"/>
          <w:lang/>
          <w14:ligatures w14:val="none"/>
        </w:rPr>
        <w:t xml:space="preserve">Evidence </w:t>
      </w:r>
      <w:bookmarkStart w:id="0" w:name="_GoBack"/>
      <w:r w:rsidRPr="00562BAF">
        <w:rPr>
          <w:rFonts w:ascii="Segoe UI" w:eastAsia="Times New Roman" w:hAnsi="Segoe UI" w:cs="Segoe UI"/>
          <w:i/>
          <w:iCs/>
          <w:color w:val="212529"/>
          <w:kern w:val="0"/>
          <w:sz w:val="23"/>
          <w:szCs w:val="23"/>
          <w:lang/>
          <w14:ligatures w14:val="none"/>
        </w:rPr>
        <w:t xml:space="preserve">— Competence of witnesses </w:t>
      </w:r>
      <w:bookmarkEnd w:id="0"/>
      <w:r w:rsidRPr="00562BAF">
        <w:rPr>
          <w:rFonts w:ascii="Segoe UI" w:eastAsia="Times New Roman" w:hAnsi="Segoe UI" w:cs="Segoe UI"/>
          <w:i/>
          <w:iCs/>
          <w:color w:val="212529"/>
          <w:kern w:val="0"/>
          <w:sz w:val="23"/>
          <w:szCs w:val="23"/>
          <w:lang/>
          <w14:ligatures w14:val="none"/>
        </w:rPr>
        <w:t>— Tender age — Trial court must assess competence of child witness in court; prosecution obliged to call crucial witnesses; failure to call child witness permits adverse inference; penetration must be proved beyond reasonable doubt in rape charge.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D43079" w:rsidRPr="00562BAF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D43079" w:rsidRPr="00562BAF" w:rsidRDefault="00D43079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562BA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5 March 2026</w:t>
            </w:r>
          </w:p>
        </w:tc>
      </w:tr>
      <w:tr w:rsidR="00D43079" w:rsidRPr="00562BAF" w:rsidTr="00EE1649">
        <w:tc>
          <w:tcPr>
            <w:tcW w:w="9349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43079" w:rsidRPr="00562BAF" w:rsidRDefault="00D43079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4" w:history="1">
              <w:r w:rsidRPr="00562BA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Henry Jovin vs Republic (Criminal Appeal No. 496 of 2024) [2026] TZCA 259 (5 March 2026)</w:t>
              </w:r>
            </w:hyperlink>
          </w:p>
        </w:tc>
      </w:tr>
    </w:tbl>
    <w:p w:rsidR="00D43079" w:rsidRDefault="00D43079"/>
    <w:sectPr w:rsidR="00D43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79"/>
    <w:rsid w:val="00D4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AE00FD-B6D4-4449-93F7-C809394F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43079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nzlii.org/en/akn/tz/judgment/tzca/2026/259/eng@2026-03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2026-04-05T18:02:00Z</dcterms:created>
  <dcterms:modified xsi:type="dcterms:W3CDTF">2026-04-05T18:03:00Z</dcterms:modified>
</cp:coreProperties>
</file>