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45C" w:rsidRDefault="0027245C"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Evidence Act (s.127/135</w:t>
      </w:r>
      <w:bookmarkStart w:id="0" w:name="_GoBack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 xml:space="preserve">) – child witness </w:t>
      </w:r>
      <w:proofErr w:type="gramStart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promise</w:t>
      </w:r>
      <w:proofErr w:type="gramEnd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 xml:space="preserve"> to tell the truth </w:t>
      </w:r>
      <w:bookmarkEnd w:id="0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– failure renders evidence valueless (pre</w:t>
      </w: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noBreakHyphen/>
        <w:t xml:space="preserve">2023 amendment) – retrial vs expungement – appellate revision under s.6(2) AJA – insufficiency of remaining evidence to sustain rape and HIV transmission convictions. </w:t>
      </w:r>
      <w:hyperlink r:id="rId4" w:history="1">
        <w:proofErr w:type="spellStart"/>
        <w:r>
          <w:rPr>
            <w:rStyle w:val="Hyperlink"/>
            <w:rFonts w:ascii="Segoe UI" w:hAnsi="Segoe UI" w:cs="Segoe UI"/>
            <w:color w:val="005E8F"/>
            <w:sz w:val="23"/>
            <w:szCs w:val="23"/>
            <w:shd w:val="clear" w:color="auto" w:fill="FFFFFF"/>
          </w:rPr>
          <w:t>Ngeleka</w:t>
        </w:r>
        <w:proofErr w:type="spellEnd"/>
        <w:r>
          <w:rPr>
            <w:rStyle w:val="Hyperlink"/>
            <w:rFonts w:ascii="Segoe UI" w:hAnsi="Segoe UI" w:cs="Segoe UI"/>
            <w:color w:val="005E8F"/>
            <w:sz w:val="23"/>
            <w:szCs w:val="23"/>
            <w:shd w:val="clear" w:color="auto" w:fill="FFFFFF"/>
          </w:rPr>
          <w:t xml:space="preserve"> </w:t>
        </w:r>
        <w:proofErr w:type="spellStart"/>
        <w:r>
          <w:rPr>
            <w:rStyle w:val="Hyperlink"/>
            <w:rFonts w:ascii="Segoe UI" w:hAnsi="Segoe UI" w:cs="Segoe UI"/>
            <w:color w:val="005E8F"/>
            <w:sz w:val="23"/>
            <w:szCs w:val="23"/>
            <w:shd w:val="clear" w:color="auto" w:fill="FFFFFF"/>
          </w:rPr>
          <w:t>Masome</w:t>
        </w:r>
        <w:proofErr w:type="spellEnd"/>
        <w:r>
          <w:rPr>
            <w:rStyle w:val="Hyperlink"/>
            <w:rFonts w:ascii="Segoe UI" w:hAnsi="Segoe UI" w:cs="Segoe UI"/>
            <w:color w:val="005E8F"/>
            <w:sz w:val="23"/>
            <w:szCs w:val="23"/>
            <w:shd w:val="clear" w:color="auto" w:fill="FFFFFF"/>
          </w:rPr>
          <w:t xml:space="preserve"> vs Republic (Criminal Appeal No. 498 of 2024) [2026] TZCA 260 (4 March 2026)</w:t>
        </w:r>
      </w:hyperlink>
    </w:p>
    <w:sectPr w:rsidR="002724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45C"/>
    <w:rsid w:val="0027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A693DC-05F3-4041-901F-C6BF7BEC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724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anzlii.org/en/akn/tz/judgment/tzca/2026/260/eng@2026-03-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2026-04-05T18:17:00Z</dcterms:created>
  <dcterms:modified xsi:type="dcterms:W3CDTF">2026-04-05T18:19:00Z</dcterms:modified>
</cp:coreProperties>
</file>