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LAW OF MARRIAGE (RECIPROCAL ENFORCEMENT OF MAINTENANCE ORDERS) ORDER</w:t>
      </w:r>
    </w:p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141)</w:t>
      </w:r>
    </w:p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 of 1973</w:t>
      </w:r>
    </w:p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172 of 1976</w:t>
      </w:r>
    </w:p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Law of Marriage (Reciprocal Enforcement of Maintenance Orders) Order.</w:t>
      </w:r>
    </w:p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(2) Sections 142, 143 and 144 of the Marriage Act (which provide for the registration, enforcement and transmission of maintenance orders) shall apply, on a reciprocal basis, to the following countries:</w:t>
      </w:r>
    </w:p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  <w:t>Republic of Malawi;</w:t>
      </w:r>
    </w:p>
    <w:p w:rsidR="0035764D" w:rsidRPr="006543AB" w:rsidRDefault="0035764D" w:rsidP="00357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  <w:t>England, Wales, Scotland and Northern Ireland.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5764D"/>
    <w:rsid w:val="00171D20"/>
    <w:rsid w:val="00357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6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2022-04-15T21:48:00Z</dcterms:created>
  <dcterms:modified xsi:type="dcterms:W3CDTF">2022-04-15T21:48:00Z</dcterms:modified>
</cp:coreProperties>
</file>