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GOVERNMENT (RATING) RULES</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34)</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78 of 1985</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 and application</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Local Government (Rating) Rules and shall apply to all Urban Councils established under the Local Government (Urban Councils) Act * , and District Councils established under the Local Government (District Councils) Act *.</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Notice of intention to make a rate</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Urban Council shall, before making any rate under the provisions of section 18 of the Local Government Finances Act, * exhibit and keep exhibited for at least ten days, a notice of its intention to make such rate on the public notice board near the outer door of the office of the Council and on the notice board of every primary court in the notice area of the Council and shall also make such intention known in such manner as is customary in the area of the Council.</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such notice shall specify the proposed method of rating and the amount of the proposed rate and the time and place at which the rate is to be payable.</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Notice of the making of a rate</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notice of the making of a rate required to be given under the provisions of section 19 of the Local Government Finance Act *, shall be given by exhibiting and keeping exhibited for at least ten days copies of the resolution to make the rate on the public notice board near the outer door of the office of the Council and on the notice board of every primary court in the area </w:t>
      </w:r>
      <w:r w:rsidRPr="006543AB">
        <w:rPr>
          <w:rFonts w:ascii="Times New Roman" w:hAnsi="Times New Roman" w:cs="Times New Roman"/>
          <w:sz w:val="24"/>
          <w:szCs w:val="24"/>
        </w:rPr>
        <w:lastRenderedPageBreak/>
        <w:t>of the Council, and notice of the making of rate may also be given in such a manner as is customary in the area of the council.</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such notice shall specify the proposed method of rating and the amount of the proposed rate and the time and place at which the rate is to be payable.</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Penalty</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fails to pay the whole of any rate due from him by the due date shall be liable to pay in addition thereto a penalty equal to half the amount of the rate in respect of which he is in default.</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Revocation G.N. No. 87 of 1984</w:t>
      </w:r>
    </w:p>
    <w:p w:rsidR="000D65AB" w:rsidRPr="006543AB" w:rsidRDefault="000D65AB" w:rsidP="000D65A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[Revokes the Urban Councils (Rating) Rules, 1983.]</w:t>
      </w:r>
      <w:proofErr w:type="gramEnd"/>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D65AB"/>
    <w:rsid w:val="000D65AB"/>
    <w:rsid w:val="0040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5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2022-04-17T15:44:00Z</dcterms:created>
  <dcterms:modified xsi:type="dcterms:W3CDTF">2022-04-17T15:45:00Z</dcterms:modified>
</cp:coreProperties>
</file>