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(AMANI NATURE RESERVE) RULES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31(1))</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151 of 1997</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1-2)</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application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Forests (Amani Nature Reserve) Rules, and shall apply to the whole area of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requires otherwise–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Forests Act *;</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"Advisory Board" means the Amani Nature Reserve Advisory Board appointed under subrule (1) of Rule 4;</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"Amani Nature Reserve" means the Amani Nature Reserve as defined in the Schedule of the Amania Nature Reserve (Declaration) Order and Rule 3 of the rules;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"animal" includes any member of the animal kingdom, whether alive or dead including fish, but shall not include human beings. The term shall, also, include all or part of the eggs, feathers, skins, shells, or any other part of an animal;</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"asset" means thing or property owned by person, company, government institution within the Amani Nature Reserve that has value and can be used or sold;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"authorised officer" means the Amani Nature Reserve Conservator, or other officer designated pursuant to Rule 5 to enforce the provisions of these Rules, and any police officer;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"buffer zone" means any area outside or within the Amani Nature Reserve or inside the enclaves of the Nature Reserve which is declared to be the buffer zone according to the General Management Plan of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"Conservator" means the Conservator of Forests appointed under Forests Act *, or the Amani Nature Reserve Conservator appointed pursuant to subrule (1) of Rule 5;</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"enclave" means those lands inside but excluded from the Amani Nature Reserve as defined in Schedule 1 of the Amani Nature Reserve Declaration Order;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"explosive" means dynamite, bomb, detonator, or any blasting agent or substance used in the manufacture of explosives;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"forest" means all land bearing a vegetative association dominated by trees of any size, exploitable or not, capable of producing wood or other products, of exerting an influence on the climate or on the water regime or providing shelter to livestock and wildlife; </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"forest produce" products from the forest as defined by the Forests Act *;</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"general management plan" means the General Management Plan adopted for the Amani Nature Reserve pursuant to Rule 6;</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"interest group" means those categories of people directly or indirectly affected by or affecting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"local resident" means any person recorded under the Local Government (District Authorities) Act *, by the village government as a resident in those villages listed under the General Management Plan as belonging to the Amani Nature Reserve buffer zones;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"local resident user" means any local person authorised to harvest forest produce so defined in the General Management Plan of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"local use" means any uses of forest produce so defined in the General Management Plan of Amani Forest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for the time being responsible for natural resources;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"nature reserve" means an area where the aim is: To protect nature and scenic areas of national or international significance, to maintain biodiversity and genetic resources, and natural processes in an undisturbed, dynamic and evolutionary state in order to have ecologically representative examples of the natural environment available for present and future generations, scientific study, environmental monitoring, education, and sustainable and controlled local and recreational use;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"path" means any traditional route crossing or passing within the Amani Nature Reserve used by local residents;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"permit" means a permit in writing issued by the Conservator, or a person authorised by him in writing;</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"plant" means any member of the vegetable kingdom, including grasses and weeds, trees, or shrubs whether growing on land or in water;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"poison" means any natural or synthetic chemical used to kill animals or plants;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"public highway" means a public highway as defined in the Highway Ordinance *;</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"structure" means any marker, monument, fence, road, building, buoy or other-made item or item brought in from outside the Amani Nature Reserve, that is intentionally built or placed within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"tenure" means holding of land or other property within the Amani Nature Reserve, through arrangements such as lease hold, free hold, customary ownership, and other such forms of holdings;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"tourist" means any person with the intention to enter inside the Amani Nature Reserve for recreation purposes;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"trap" means any mechanical or fixed device that kills, injures or captures animals;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"vegetation" means any form of vegetable matter, alive or dead whether growing on land or in water;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"Visitor" means any person other than a tourist or a resident who enters Amani Nature Reserve for the purposes of trade, business and employment and includes a person employed by </w:t>
      </w:r>
      <w:r w:rsidRPr="006543AB">
        <w:rPr>
          <w:rFonts w:ascii="Times New Roman" w:hAnsi="Times New Roman" w:cs="Times New Roman"/>
          <w:sz w:val="24"/>
          <w:szCs w:val="24"/>
        </w:rPr>
        <w:lastRenderedPageBreak/>
        <w:t>the Government District Council who enters Amani Nature Reserve in the course of his employment, for a period no longer than 90 days;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"weapon" means any device or instrument designed to be propelled or to propel any missile for the purposes of catching, impaling or killing animals and includes all firearms, bows, crossbows and throwing spears;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"zone" means a defined area within the Amani Nature Reserve with specific management objectives and prescriptions as determined in the General Management Plan of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OBJECTIVES OF AMANI NATURE RESERVE (rule 3)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Objectives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Amani Nature Reserve is established–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protect the unique, biologically important submontane rain forest ecosystem of East Usambara mountains;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maintain biodiversity, genetic resources, natural processes and cultural value in an undisturbed, dynamic and evolutionary state in order to have an ecologically representative example of the Eastern Arc forest ecosystem available for present and future generations, scientific study, environmental monitoring, education, and sustainable and controlled local and recreational use.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ADVISORY BOARD ADMINISTRATION OF THE AMANI NATURE  RESERVE (rules 4-5)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The Advisory Board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shall be an Amani Nature Reserve Advisory Board whose members shall be appointed by the Minister upon the advice of the Conservator, and the constitution of which shall reflect key conservation interests in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appointment, tenure of office, quorum, proceedings and meetings of the Advisory Board shall be as provided in the First Schedule.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functions of the Advisory Board, in consultation with and subject to control and authority of the Conservator, shall be–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advise the Conservator on the management of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oversee the operations of the Amani Nature Reserve, including the preparation of the General Management Plan;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oversee the use of the Amani Nature Reserve Conservator on technical, scientific, and operational matters concerning the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represent interest groups, including local residents, of, and reconcile conflicts relating to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Appointment of Conservator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Conservator shall appoint an Amani Nature Reserve Conservator.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Conservator shall administer the Amani Nature Forest Reserve subject to control and authority of the Conservator.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Conservator may appoint officers to administer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MANAGEMENT PLAN FOR AMANI NATURE RESERVE (rule 6)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General Management Plan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Minister, upon the advice of the Conservator, shall adopt a General Management Plan for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General Management Plan for Amani Nature Reserve shall contain–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full description of the nature and location of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description of the biological, environmental, geological and cultural resources of the area;</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list of the villages which constitute the buffer zone of the Amani Nature Reserve, including a description of local resident users and specified uses, and other elements which distinguish between classes and categories to which such descriptions apply;</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detailed statements of the objectives of the Amani Nature Reserve in accordance with Rule 3; and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a detailed account of the means and methods by which those objectives will be harmonised and carried out, including proposed activities, development, and funding; and zoning as pursuant to subrule (4) of Rule 6.</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plan of zones shall be submitted as part of the Amani Nature Reserve Management Plan.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plan of zones shall contain–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map showing the zones and boundaries of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description and objectives of zones and activities permitted within each zone; and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any other matter or description necessary for identifying components in the zones.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Memoranda of Understanding, specifying rights and restrictions of major institutions and holders of physical assets within the boundaries of the Amani Nature Reserve, shall be submitted as part of the Amani Nature Reserve Management Plan.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Memorandum of Understanding shall contain–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map showing the assets and boundaries of tenure;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description of the assets, facilities and the activities permitted within the boundaries of tenure;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description of the procedures for planning, administration, and decision-making on matters which may influence the Amani Nature Reserve or the holder of tenure; and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Any other matter or description necessary for a regulation of the relationship between the Amani Nature Reserve and the holder of the asset or tenure.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ESTABLISHMENT OF THE AMANI NATURE RESERVE CONSERVATION FUND (rule 7)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Establishment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Minister shall establish a fund to be known as Amani Nature Reserve Conservation Fund which shall be the repository for–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all funding from the Government for use within or relating to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all voluntary subscriptions, donations or bequests received by Amani Nature Reserve from any source;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all proceeds from user and entry fees, tourism levies, proceeds from licensing fees and other charges imposed by the Amani Nature Reserve in respect of the use or development of, or any other activities in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revenues from sustainable resource use or development activities conducted by the Amani Nature Reserve; and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any other sum or property which may be vested in the Amani Nature Reserve as a result of the performance of its functions.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Conservator, in consultation with the Advisory Board, shall maintain such accounting records for the Reserve as are required in conformity with Government financial regulations.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Amani Nature Reserve shall have an account within the conservation fund where all revenue generated from within the Amani Nature Reserve shall be retained and expended for pursuance of the objectives set forth in the General Management Plan of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Conservator shall ensure that, where the donor of funds deposited in the conservation fund requests that those funds be used for particular activities or equipment, all such funds shall be used in accordance with approved plans.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Conservator shall, with the approval of the Conservator and in consultation with the Advisory Board, expend other funds from the account for the development of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Conservator shall, in consultation with the Advisory Board and with the approval of the Conservator, expend funds from the account referred to in subrule (3) of Rule 7, as may be apportioned in the Amani Nature Reserve Management Plan, for the benefit of the villages in the vicinity of the Amani Nature Reserve, in order to further the objectives of the Amani Nature Reserve as stated in Rule 3.</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Advisory Board, in consultation with, and subject to control and authority of the Conservator, shall distribute a portion of the net revenues to local authorities for the benefit of the communities specified in the buffer zone based on proposals submitted to the Advisory Board.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 The Conservator, in consultation with the Conservator and the Advisory Board, shall submit an annual audited report on the sources and use of funds under the Amani Nature Reserve Conservation Fund to the Minister.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ENTRY, RESIDENCE AND SETTLEMENT REGULATIONS (rules 8-15)</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Non-prohibition, restriction or controlling of entry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Nothing in these Rules shall operate so as to prohibit, restrict or control–</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entry into or residence within the Amani Nature Reserve, or any part thereof, of public officers on duty or of the Conservator or any person authorised by him;</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entry into the Amani Nature Reserve of persons holding therein any estate or interest in freehold land, any leasehold land or any land under a right of occupancy granted under section 6 or section 11 of the Land Act *, all reasonable access by such persons to such land or the residence of such persons on such land;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entry into or residence within the Amani Nature Reserve of the wives, children, dependants and employees of persons specified in paragraphs (a) or (b) of subrule (1) of rule 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entry into the Amani Nature Reserve upon any public highway of persons travelling through the Nature Research along such highway, private roads, and paths: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nothing contained in these Rules shall be construed as granting or recognising any right or title to land or any interest in, over or under land within the Amani </w:t>
      </w:r>
      <w:r w:rsidRPr="006543AB">
        <w:rPr>
          <w:rFonts w:ascii="Times New Roman" w:hAnsi="Times New Roman" w:cs="Times New Roman"/>
          <w:sz w:val="24"/>
          <w:szCs w:val="24"/>
        </w:rPr>
        <w:lastRenderedPageBreak/>
        <w:t>Nature Reserve or as exempting any of the persons specified in these Rules from complying with any other provision of, or restriction imposed by the Act, or with any other Rules made thereunder, notwithstanding that such provisions, restrictions may restrict, control or prevent the exercise of any right to which these Rules refer.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Permits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tourist entering the Amani Nature Reserve areas shall obtain a permit from the Conservator or any person authorised by him.</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Such permit shall be obtained: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entry, on application by post or in person to the Conservator or any person authorised by him in writing;</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case of tourists entering the Amani Nature Reserve at the entry point.</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Requirement to produce permit</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Conservator, or any person authorised in writing by him, may require any person found inside the Amani Nature Reserve, excluding the public roads and the enclaves, whom he has reason to believe is a person required to be in possession of a permit under these Rules to produce such permit, or to satisfy him that he is a person who does not require a permit under these Rules.*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when required to produce a permit under the provisions of these Rules, fails to do so shall, unless he satisfies the person requiring him to do so that he is a person who does not require a permit under these Rules, be guilty of an offence.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11.</w:t>
      </w:r>
      <w:r w:rsidRPr="006543AB">
        <w:rPr>
          <w:rFonts w:ascii="Times New Roman" w:hAnsi="Times New Roman" w:cs="Times New Roman"/>
          <w:sz w:val="24"/>
          <w:szCs w:val="24"/>
        </w:rPr>
        <w:tab/>
        <w:t>Barriers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Conservator or any person authorised in writing by him, may for the purpose of controlling cutting, burning, removing any vegetation or part thereof from Amani Nature Reserve, erect and maintain road barriers on the public highway or any track or path within the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Conservator, or any person authorised in writing by him, may at any time when in the opinion of the Conservator or such person weather conditions have made the use of the road or track hazardous to vehicular traffic forbid any motor vehicle to enter any specified section of any road or track unless the person in charge of such vehicle is in possession of a special permit to enter such specified section: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no such special permit shall be required by the Conservator or any person authorised in writing by him.</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Such special permit shall be issued by the Conservator or any person authorised in writing by him to issue such permits.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It shall be an offence under these Rules for any person to use poisons, explosives or introduce exotic or alien wildlife or kill, wound, capture any animal in respect of the Amani Nature Reserve area.</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It shall be an offence under these Rules for any person who will contravene the provisions of the Forests Act * in respect of the Amani Nature Reserve Area.</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Fees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shall be fees payable in respect of the permits provided for by these Rules.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fee system and fees are payable in respect of these rules specified in the Second Schedule of this order, and may be revised by the Conservator, in consultation with the Amani Nature Reserve Advisory Board: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Conservator, or any person authorised by him in writing, may in his discretion waive such fees in whole or in part. *</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Removal from the reserve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is found within the Amani Nature Reserve area in contravention of these Rules may be removed therefrom by the Conservator or by any person authorised by him in writing.</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Failure to obtain permits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being required by these Rules to obtain permits, fails to do so, and any person who contravenes any conditions, shall be guilty of an offence.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General penalty</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commits any offence under these Rules shall be liable on convictions to a fine not exceeding three hundred thousand shillings or to imprisonment for a term not exceeding two years or to both and in case of a second or subsequent offence, to a fine not exceeding six hundred thousand shillings or to imprisonment for a term not exceeding four years or to both.</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ADVISORY BOARD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4(1))</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Constitution of the Board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Advisory Board shall consist of members not less than ten and not more than fourteen including–</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Conservator–Director of Forestry and Beekeeping Division.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General Manager–East Usambara Tea Company.</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General Manager–Karimjee Agricultural Ltd.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District Commissioner–Muheza District.</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District Commissioner–Korogwe District.</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District Natural Resources Officer–Muheza District.</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District Natural Resources Officer–Korogwe District.</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Director–National Institute for Medical Research (Amani).</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Conservator.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The representative from Forest Biology Department–Sokoine University of Agriculture.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The representative from Natural Forest Management Section–Tanzania Forestry Research Institute (TAFORI).</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Amani Nature Reserve Conservator.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w:t>
      </w:r>
      <w:r w:rsidRPr="006543AB">
        <w:rPr>
          <w:rFonts w:ascii="Times New Roman" w:hAnsi="Times New Roman" w:cs="Times New Roman"/>
          <w:sz w:val="24"/>
          <w:szCs w:val="24"/>
        </w:rPr>
        <w:tab/>
        <w:t>Forest Project Officer (Catchment Tanga).</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Chairman and Vice-Chairman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members of the Advisory Board shall select from among their number, a chairman and a vice-chairman who shall hold office for three years respectively unless otherwise their membership is terminated, and shall be eligible for re-election.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Members of the advisory board shall hold office for three years and unless their membership is otherwise terminated due to misconduct or any other reason, they shall be eligible for re-election.</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Amani Nature Reserve Conservator and the  Conservator shall be ex officio members of the Advisory Board and the Conservator shall be the secretary to the Advisory Board.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Meetings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ordinary meeting of the Advisory Board shall be convened by the Chairman and the notice specifying the place, date and time of the meeting shall be sent to each member at his usual place of business or residence not less than fourteen days before the date of the meeting.</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Chairman, or in his absence the Vice-Chairman shall be bound to convene a special meeting of the Advisory Board upon receipt of a request in writing in that behalf signed by not less than two members or where the chairman or Vice-Chairman is required to do so, by the Permanent Secretary, Conservator or Amani Nature Reserve Conservator.</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Quorum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quorum at any meeting of the Advisory Board shall be half of the board members.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member who has any interest, direct or indirect, in the matter before the members shall, as soon as reasonably practicable, disclose to the Chairman or Vice-Chairman the nature of the interest, and shall not, except with the consent of the majority of the remaining members present and voting, take part in any deliberations or in the decision of the Advisory Board.</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Subject to other directions to be given by the Permanent Secretary, Conservator or Amani Nature Reserve Conservator subject to the provisions of this Schedule, the Advisory Board shall regulate its own proceedings.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Annual Report G.N. No. 163 of 1998</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At least annually, the Amani Nature Reserve Conservator shall report to the Advisory Board concerning activities, proposed developments and other works on the Amani Nature Reserve, for approval by the members.</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Amani Nature Reserve Conservator shall emulate the conditions laid down under paragraph 4(4) of this Schedule in respect of Amani Nature Reserve.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FEES</w:t>
      </w:r>
    </w:p>
    <w:p w:rsidR="00777B1B" w:rsidRPr="006543AB" w:rsidRDefault="00777B1B" w:rsidP="00777B1B">
      <w:pPr>
        <w:spacing w:line="480" w:lineRule="auto"/>
        <w:rPr>
          <w:rFonts w:ascii="Times New Roman" w:hAnsi="Times New Roman" w:cs="Times New Roman"/>
          <w:sz w:val="24"/>
          <w:szCs w:val="24"/>
        </w:rPr>
      </w:pP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Payable fees</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Tanzania </w:t>
      </w:r>
      <w:r w:rsidRPr="006543AB">
        <w:rPr>
          <w:rFonts w:ascii="Times New Roman" w:hAnsi="Times New Roman" w:cs="Times New Roman"/>
          <w:sz w:val="24"/>
          <w:szCs w:val="24"/>
        </w:rPr>
        <w:tab/>
        <w:t>External</w:t>
      </w:r>
      <w:r w:rsidRPr="006543AB">
        <w:rPr>
          <w:rFonts w:ascii="Times New Roman" w:hAnsi="Times New Roman" w:cs="Times New Roman"/>
          <w:sz w:val="24"/>
          <w:szCs w:val="24"/>
        </w:rPr>
        <w:tab/>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1 Entry fees</w:t>
      </w:r>
      <w:r w:rsidRPr="006543AB">
        <w:rPr>
          <w:rFonts w:ascii="Times New Roman" w:hAnsi="Times New Roman" w:cs="Times New Roman"/>
          <w:sz w:val="24"/>
          <w:szCs w:val="24"/>
        </w:rPr>
        <w:tab/>
        <w:t>T.Shs.</w:t>
      </w:r>
      <w:r w:rsidRPr="006543AB">
        <w:rPr>
          <w:rFonts w:ascii="Times New Roman" w:hAnsi="Times New Roman" w:cs="Times New Roman"/>
          <w:sz w:val="24"/>
          <w:szCs w:val="24"/>
        </w:rPr>
        <w:tab/>
        <w:t>500/-</w:t>
      </w:r>
      <w:r w:rsidRPr="006543AB">
        <w:rPr>
          <w:rFonts w:ascii="Times New Roman" w:hAnsi="Times New Roman" w:cs="Times New Roman"/>
          <w:sz w:val="24"/>
          <w:szCs w:val="24"/>
        </w:rPr>
        <w:tab/>
        <w:t>5 USD</w:t>
      </w:r>
      <w:r w:rsidRPr="006543AB">
        <w:rPr>
          <w:rFonts w:ascii="Times New Roman" w:hAnsi="Times New Roman" w:cs="Times New Roman"/>
          <w:sz w:val="24"/>
          <w:szCs w:val="24"/>
        </w:rPr>
        <w:tab/>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 Guided walk</w:t>
      </w:r>
      <w:r w:rsidRPr="006543AB">
        <w:rPr>
          <w:rFonts w:ascii="Times New Roman" w:hAnsi="Times New Roman" w:cs="Times New Roman"/>
          <w:sz w:val="24"/>
          <w:szCs w:val="24"/>
        </w:rPr>
        <w:tab/>
        <w:t>T.Shs.</w:t>
      </w:r>
      <w:r w:rsidRPr="006543AB">
        <w:rPr>
          <w:rFonts w:ascii="Times New Roman" w:hAnsi="Times New Roman" w:cs="Times New Roman"/>
          <w:sz w:val="24"/>
          <w:szCs w:val="24"/>
        </w:rPr>
        <w:tab/>
        <w:t>1,000/- day</w:t>
      </w:r>
      <w:r w:rsidRPr="006543AB">
        <w:rPr>
          <w:rFonts w:ascii="Times New Roman" w:hAnsi="Times New Roman" w:cs="Times New Roman"/>
          <w:sz w:val="24"/>
          <w:szCs w:val="24"/>
        </w:rPr>
        <w:tab/>
        <w:t>10 USD/day</w:t>
      </w:r>
      <w:r w:rsidRPr="006543AB">
        <w:rPr>
          <w:rFonts w:ascii="Times New Roman" w:hAnsi="Times New Roman" w:cs="Times New Roman"/>
          <w:sz w:val="24"/>
          <w:szCs w:val="24"/>
        </w:rPr>
        <w:tab/>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3 Camping</w:t>
      </w:r>
      <w:r w:rsidRPr="006543AB">
        <w:rPr>
          <w:rFonts w:ascii="Times New Roman" w:hAnsi="Times New Roman" w:cs="Times New Roman"/>
          <w:sz w:val="24"/>
          <w:szCs w:val="24"/>
        </w:rPr>
        <w:tab/>
        <w:t>T.Shs.</w:t>
      </w:r>
      <w:r w:rsidRPr="006543AB">
        <w:rPr>
          <w:rFonts w:ascii="Times New Roman" w:hAnsi="Times New Roman" w:cs="Times New Roman"/>
          <w:sz w:val="24"/>
          <w:szCs w:val="24"/>
        </w:rPr>
        <w:tab/>
        <w:t>2,500/- day</w:t>
      </w:r>
      <w:r w:rsidRPr="006543AB">
        <w:rPr>
          <w:rFonts w:ascii="Times New Roman" w:hAnsi="Times New Roman" w:cs="Times New Roman"/>
          <w:sz w:val="24"/>
          <w:szCs w:val="24"/>
        </w:rPr>
        <w:tab/>
        <w:t>5 USD/day</w:t>
      </w:r>
      <w:r w:rsidRPr="006543AB">
        <w:rPr>
          <w:rFonts w:ascii="Times New Roman" w:hAnsi="Times New Roman" w:cs="Times New Roman"/>
          <w:sz w:val="24"/>
          <w:szCs w:val="24"/>
        </w:rPr>
        <w:tab/>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Vehicle permit less than 2 tons</w:t>
      </w:r>
      <w:r w:rsidRPr="006543AB">
        <w:rPr>
          <w:rFonts w:ascii="Times New Roman" w:hAnsi="Times New Roman" w:cs="Times New Roman"/>
          <w:sz w:val="24"/>
          <w:szCs w:val="24"/>
        </w:rPr>
        <w:tab/>
        <w:t>T.Shs.</w:t>
      </w:r>
      <w:r w:rsidRPr="006543AB">
        <w:rPr>
          <w:rFonts w:ascii="Times New Roman" w:hAnsi="Times New Roman" w:cs="Times New Roman"/>
          <w:sz w:val="24"/>
          <w:szCs w:val="24"/>
        </w:rPr>
        <w:tab/>
        <w:t>1,000/- day</w:t>
      </w:r>
      <w:r w:rsidRPr="006543AB">
        <w:rPr>
          <w:rFonts w:ascii="Times New Roman" w:hAnsi="Times New Roman" w:cs="Times New Roman"/>
          <w:sz w:val="24"/>
          <w:szCs w:val="24"/>
        </w:rPr>
        <w:tab/>
        <w:t>2 USD</w:t>
      </w:r>
      <w:r w:rsidRPr="006543AB">
        <w:rPr>
          <w:rFonts w:ascii="Times New Roman" w:hAnsi="Times New Roman" w:cs="Times New Roman"/>
          <w:sz w:val="24"/>
          <w:szCs w:val="24"/>
        </w:rPr>
        <w:tab/>
      </w:r>
    </w:p>
    <w:p w:rsidR="00777B1B" w:rsidRPr="006543AB" w:rsidRDefault="00777B1B" w:rsidP="00777B1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above 2 tons</w:t>
      </w:r>
      <w:r w:rsidRPr="006543AB">
        <w:rPr>
          <w:rFonts w:ascii="Times New Roman" w:hAnsi="Times New Roman" w:cs="Times New Roman"/>
          <w:sz w:val="24"/>
          <w:szCs w:val="24"/>
        </w:rPr>
        <w:tab/>
        <w:t>T.Shs.</w:t>
      </w:r>
      <w:r w:rsidRPr="006543AB">
        <w:rPr>
          <w:rFonts w:ascii="Times New Roman" w:hAnsi="Times New Roman" w:cs="Times New Roman"/>
          <w:sz w:val="24"/>
          <w:szCs w:val="24"/>
        </w:rPr>
        <w:tab/>
        <w:t>2,500/- day</w:t>
      </w:r>
      <w:r w:rsidRPr="006543AB">
        <w:rPr>
          <w:rFonts w:ascii="Times New Roman" w:hAnsi="Times New Roman" w:cs="Times New Roman"/>
          <w:sz w:val="24"/>
          <w:szCs w:val="24"/>
        </w:rPr>
        <w:tab/>
        <w:t>4 USD</w:t>
      </w:r>
      <w:r w:rsidRPr="006543AB">
        <w:rPr>
          <w:rFonts w:ascii="Times New Roman" w:hAnsi="Times New Roman" w:cs="Times New Roman"/>
          <w:sz w:val="24"/>
          <w:szCs w:val="24"/>
        </w:rPr>
        <w:tab/>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77B1B"/>
    <w:rsid w:val="00777B1B"/>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B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3222</Words>
  <Characters>18370</Characters>
  <Application>Microsoft Office Word</Application>
  <DocSecurity>0</DocSecurity>
  <Lines>153</Lines>
  <Paragraphs>43</Paragraphs>
  <ScaleCrop>false</ScaleCrop>
  <Company/>
  <LinksUpToDate>false</LinksUpToDate>
  <CharactersWithSpaces>21549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2022-04-17T19:15:00Z</dcterms:created>
  <dcterms:modified xsi:type="dcterms:W3CDTF">2022-04-17T19:16:00Z</dcterms:modified>
</cp:coreProperties>
</file>