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THE PROFESSIONAL ACCOUNTANTS (CODE OF CONDUCT AND ETHICS) BY-LAWS</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ARRANGEMENT OF BY-LAWS</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By-law</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Title</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PART I</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PRELIMINARY PROVISIONS</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w:t>
      </w:r>
      <w:r w:rsidRPr="006543AB">
        <w:rPr>
          <w:rFonts w:ascii="Times New Roman" w:hAnsi="Times New Roman" w:cs="Times New Roman"/>
          <w:sz w:val="24"/>
          <w:szCs w:val="24"/>
        </w:rPr>
        <w:tab/>
        <w:t>Citation.</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w:t>
      </w:r>
      <w:r w:rsidRPr="006543AB">
        <w:rPr>
          <w:rFonts w:ascii="Times New Roman" w:hAnsi="Times New Roman" w:cs="Times New Roman"/>
          <w:sz w:val="24"/>
          <w:szCs w:val="24"/>
        </w:rPr>
        <w:tab/>
        <w:t>Interpretation.</w:t>
      </w:r>
    </w:p>
    <w:p w:rsidR="00087791" w:rsidRPr="006543AB" w:rsidRDefault="00087791" w:rsidP="00087791">
      <w:pPr>
        <w:spacing w:line="480" w:lineRule="auto"/>
        <w:rPr>
          <w:rFonts w:ascii="Times New Roman" w:hAnsi="Times New Roman" w:cs="Times New Roman"/>
          <w:sz w:val="24"/>
          <w:szCs w:val="24"/>
        </w:rPr>
      </w:pP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PART II</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ETHICS OF PROFESSIONAL ACCOUNTANTS</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w:t>
      </w:r>
      <w:r w:rsidRPr="006543AB">
        <w:rPr>
          <w:rFonts w:ascii="Times New Roman" w:hAnsi="Times New Roman" w:cs="Times New Roman"/>
          <w:sz w:val="24"/>
          <w:szCs w:val="24"/>
        </w:rPr>
        <w:tab/>
        <w:t>Integrity and objectivity.</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w:t>
      </w:r>
      <w:r w:rsidRPr="006543AB">
        <w:rPr>
          <w:rFonts w:ascii="Times New Roman" w:hAnsi="Times New Roman" w:cs="Times New Roman"/>
          <w:sz w:val="24"/>
          <w:szCs w:val="24"/>
        </w:rPr>
        <w:tab/>
        <w:t>Ethical conflicts.</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5.</w:t>
      </w:r>
      <w:r w:rsidRPr="006543AB">
        <w:rPr>
          <w:rFonts w:ascii="Times New Roman" w:hAnsi="Times New Roman" w:cs="Times New Roman"/>
          <w:sz w:val="24"/>
          <w:szCs w:val="24"/>
        </w:rPr>
        <w:tab/>
        <w:t>Professional competence.</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6.</w:t>
      </w:r>
      <w:r w:rsidRPr="006543AB">
        <w:rPr>
          <w:rFonts w:ascii="Times New Roman" w:hAnsi="Times New Roman" w:cs="Times New Roman"/>
          <w:sz w:val="24"/>
          <w:szCs w:val="24"/>
        </w:rPr>
        <w:tab/>
        <w:t>Confidentiality.</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7.</w:t>
      </w:r>
      <w:r w:rsidRPr="006543AB">
        <w:rPr>
          <w:rFonts w:ascii="Times New Roman" w:hAnsi="Times New Roman" w:cs="Times New Roman"/>
          <w:sz w:val="24"/>
          <w:szCs w:val="24"/>
        </w:rPr>
        <w:tab/>
        <w:t>Tax practices.</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8.</w:t>
      </w:r>
      <w:r w:rsidRPr="006543AB">
        <w:rPr>
          <w:rFonts w:ascii="Times New Roman" w:hAnsi="Times New Roman" w:cs="Times New Roman"/>
          <w:sz w:val="24"/>
          <w:szCs w:val="24"/>
        </w:rPr>
        <w:tab/>
        <w:t>Material error or omission.</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9.</w:t>
      </w:r>
      <w:r w:rsidRPr="006543AB">
        <w:rPr>
          <w:rFonts w:ascii="Times New Roman" w:hAnsi="Times New Roman" w:cs="Times New Roman"/>
          <w:sz w:val="24"/>
          <w:szCs w:val="24"/>
        </w:rPr>
        <w:tab/>
        <w:t>Cross border activities.</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10.</w:t>
      </w:r>
      <w:r w:rsidRPr="006543AB">
        <w:rPr>
          <w:rFonts w:ascii="Times New Roman" w:hAnsi="Times New Roman" w:cs="Times New Roman"/>
          <w:sz w:val="24"/>
          <w:szCs w:val="24"/>
        </w:rPr>
        <w:tab/>
        <w:t>Advertising professional services.</w:t>
      </w:r>
    </w:p>
    <w:p w:rsidR="00087791" w:rsidRPr="006543AB" w:rsidRDefault="00087791" w:rsidP="00087791">
      <w:pPr>
        <w:spacing w:line="480" w:lineRule="auto"/>
        <w:rPr>
          <w:rFonts w:ascii="Times New Roman" w:hAnsi="Times New Roman" w:cs="Times New Roman"/>
          <w:sz w:val="24"/>
          <w:szCs w:val="24"/>
        </w:rPr>
      </w:pP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PART III</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PROFESSIONAL ACCOUNTANTS IN PUBLIC PRACTICE (CPA-PP)</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11.</w:t>
      </w:r>
      <w:r w:rsidRPr="006543AB">
        <w:rPr>
          <w:rFonts w:ascii="Times New Roman" w:hAnsi="Times New Roman" w:cs="Times New Roman"/>
          <w:sz w:val="24"/>
          <w:szCs w:val="24"/>
        </w:rPr>
        <w:tab/>
        <w:t>Integrity, objectivity and independence.</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12.</w:t>
      </w:r>
      <w:r w:rsidRPr="006543AB">
        <w:rPr>
          <w:rFonts w:ascii="Times New Roman" w:hAnsi="Times New Roman" w:cs="Times New Roman"/>
          <w:sz w:val="24"/>
          <w:szCs w:val="24"/>
        </w:rPr>
        <w:tab/>
        <w:t>Financial involvement.</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13.</w:t>
      </w:r>
      <w:r w:rsidRPr="006543AB">
        <w:rPr>
          <w:rFonts w:ascii="Times New Roman" w:hAnsi="Times New Roman" w:cs="Times New Roman"/>
          <w:sz w:val="24"/>
          <w:szCs w:val="24"/>
        </w:rPr>
        <w:tab/>
        <w:t>Appointment in companies.</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14.</w:t>
      </w:r>
      <w:r w:rsidRPr="006543AB">
        <w:rPr>
          <w:rFonts w:ascii="Times New Roman" w:hAnsi="Times New Roman" w:cs="Times New Roman"/>
          <w:sz w:val="24"/>
          <w:szCs w:val="24"/>
        </w:rPr>
        <w:tab/>
        <w:t>Preparation of clients' accounting records.</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15.</w:t>
      </w:r>
      <w:r w:rsidRPr="006543AB">
        <w:rPr>
          <w:rFonts w:ascii="Times New Roman" w:hAnsi="Times New Roman" w:cs="Times New Roman"/>
          <w:sz w:val="24"/>
          <w:szCs w:val="24"/>
        </w:rPr>
        <w:tab/>
        <w:t>Personal and family relationships.</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16.</w:t>
      </w:r>
      <w:r w:rsidRPr="006543AB">
        <w:rPr>
          <w:rFonts w:ascii="Times New Roman" w:hAnsi="Times New Roman" w:cs="Times New Roman"/>
          <w:sz w:val="24"/>
          <w:szCs w:val="24"/>
        </w:rPr>
        <w:tab/>
        <w:t>Income.</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17.</w:t>
      </w:r>
      <w:r w:rsidRPr="006543AB">
        <w:rPr>
          <w:rFonts w:ascii="Times New Roman" w:hAnsi="Times New Roman" w:cs="Times New Roman"/>
          <w:sz w:val="24"/>
          <w:szCs w:val="24"/>
        </w:rPr>
        <w:tab/>
        <w:t>Contingency fees.</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18.</w:t>
      </w:r>
      <w:r w:rsidRPr="006543AB">
        <w:rPr>
          <w:rFonts w:ascii="Times New Roman" w:hAnsi="Times New Roman" w:cs="Times New Roman"/>
          <w:sz w:val="24"/>
          <w:szCs w:val="24"/>
        </w:rPr>
        <w:tab/>
        <w:t>Goods and services.</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19.</w:t>
      </w:r>
      <w:r w:rsidRPr="006543AB">
        <w:rPr>
          <w:rFonts w:ascii="Times New Roman" w:hAnsi="Times New Roman" w:cs="Times New Roman"/>
          <w:sz w:val="24"/>
          <w:szCs w:val="24"/>
        </w:rPr>
        <w:tab/>
        <w:t>Capital ownership.</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20.</w:t>
      </w:r>
      <w:r w:rsidRPr="006543AB">
        <w:rPr>
          <w:rFonts w:ascii="Times New Roman" w:hAnsi="Times New Roman" w:cs="Times New Roman"/>
          <w:sz w:val="24"/>
          <w:szCs w:val="24"/>
        </w:rPr>
        <w:tab/>
        <w:t>Long association of senior personnel with audit clients.</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21.</w:t>
      </w:r>
      <w:r w:rsidRPr="006543AB">
        <w:rPr>
          <w:rFonts w:ascii="Times New Roman" w:hAnsi="Times New Roman" w:cs="Times New Roman"/>
          <w:sz w:val="24"/>
          <w:szCs w:val="24"/>
        </w:rPr>
        <w:tab/>
        <w:t>Professional competence.</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22.</w:t>
      </w:r>
      <w:r w:rsidRPr="006543AB">
        <w:rPr>
          <w:rFonts w:ascii="Times New Roman" w:hAnsi="Times New Roman" w:cs="Times New Roman"/>
          <w:sz w:val="24"/>
          <w:szCs w:val="24"/>
        </w:rPr>
        <w:tab/>
        <w:t>Fees.</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23.</w:t>
      </w:r>
      <w:r w:rsidRPr="006543AB">
        <w:rPr>
          <w:rFonts w:ascii="Times New Roman" w:hAnsi="Times New Roman" w:cs="Times New Roman"/>
          <w:sz w:val="24"/>
          <w:szCs w:val="24"/>
        </w:rPr>
        <w:tab/>
        <w:t>Commission.</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24.</w:t>
      </w:r>
      <w:r w:rsidRPr="006543AB">
        <w:rPr>
          <w:rFonts w:ascii="Times New Roman" w:hAnsi="Times New Roman" w:cs="Times New Roman"/>
          <w:sz w:val="24"/>
          <w:szCs w:val="24"/>
        </w:rPr>
        <w:tab/>
        <w:t>Incompatible activities.</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25.</w:t>
      </w:r>
      <w:r w:rsidRPr="006543AB">
        <w:rPr>
          <w:rFonts w:ascii="Times New Roman" w:hAnsi="Times New Roman" w:cs="Times New Roman"/>
          <w:sz w:val="24"/>
          <w:szCs w:val="24"/>
        </w:rPr>
        <w:tab/>
        <w:t>Client's monies.</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26.</w:t>
      </w:r>
      <w:r w:rsidRPr="006543AB">
        <w:rPr>
          <w:rFonts w:ascii="Times New Roman" w:hAnsi="Times New Roman" w:cs="Times New Roman"/>
          <w:sz w:val="24"/>
          <w:szCs w:val="24"/>
        </w:rPr>
        <w:tab/>
        <w:t>Relations with other professional accountants in public practice.</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27.</w:t>
      </w:r>
      <w:r w:rsidRPr="006543AB">
        <w:rPr>
          <w:rFonts w:ascii="Times New Roman" w:hAnsi="Times New Roman" w:cs="Times New Roman"/>
          <w:sz w:val="24"/>
          <w:szCs w:val="24"/>
        </w:rPr>
        <w:tab/>
        <w:t>Receiving accountant.</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28.</w:t>
      </w:r>
      <w:r w:rsidRPr="006543AB">
        <w:rPr>
          <w:rFonts w:ascii="Times New Roman" w:hAnsi="Times New Roman" w:cs="Times New Roman"/>
          <w:sz w:val="24"/>
          <w:szCs w:val="24"/>
        </w:rPr>
        <w:tab/>
        <w:t>Existing accountant.</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29.</w:t>
      </w:r>
      <w:r w:rsidRPr="006543AB">
        <w:rPr>
          <w:rFonts w:ascii="Times New Roman" w:hAnsi="Times New Roman" w:cs="Times New Roman"/>
          <w:sz w:val="24"/>
          <w:szCs w:val="24"/>
        </w:rPr>
        <w:tab/>
        <w:t>Superseding of a professional accountant.</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30.</w:t>
      </w:r>
      <w:r w:rsidRPr="006543AB">
        <w:rPr>
          <w:rFonts w:ascii="Times New Roman" w:hAnsi="Times New Roman" w:cs="Times New Roman"/>
          <w:sz w:val="24"/>
          <w:szCs w:val="24"/>
        </w:rPr>
        <w:tab/>
        <w:t>Proposed CPA-PP.</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31.</w:t>
      </w:r>
      <w:r w:rsidRPr="006543AB">
        <w:rPr>
          <w:rFonts w:ascii="Times New Roman" w:hAnsi="Times New Roman" w:cs="Times New Roman"/>
          <w:sz w:val="24"/>
          <w:szCs w:val="24"/>
        </w:rPr>
        <w:tab/>
        <w:t>Advertisement and solicitation.</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32.</w:t>
      </w:r>
      <w:r w:rsidRPr="006543AB">
        <w:rPr>
          <w:rFonts w:ascii="Times New Roman" w:hAnsi="Times New Roman" w:cs="Times New Roman"/>
          <w:sz w:val="24"/>
          <w:szCs w:val="24"/>
        </w:rPr>
        <w:tab/>
        <w:t>Publicity by an individual CPA-PP.</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33.</w:t>
      </w:r>
      <w:r w:rsidRPr="006543AB">
        <w:rPr>
          <w:rFonts w:ascii="Times New Roman" w:hAnsi="Times New Roman" w:cs="Times New Roman"/>
          <w:sz w:val="24"/>
          <w:szCs w:val="24"/>
        </w:rPr>
        <w:tab/>
        <w:t>Circumstances in which publicity is acceptable.</w:t>
      </w:r>
    </w:p>
    <w:p w:rsidR="00087791" w:rsidRPr="006543AB" w:rsidRDefault="00087791" w:rsidP="00087791">
      <w:pPr>
        <w:spacing w:line="480" w:lineRule="auto"/>
        <w:rPr>
          <w:rFonts w:ascii="Times New Roman" w:hAnsi="Times New Roman" w:cs="Times New Roman"/>
          <w:sz w:val="24"/>
          <w:szCs w:val="24"/>
        </w:rPr>
      </w:pP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PART IV</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EMPLOYED CERTIFIED PUBLIC ACCOUNTANTS (CPA)</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34.</w:t>
      </w:r>
      <w:r w:rsidRPr="006543AB">
        <w:rPr>
          <w:rFonts w:ascii="Times New Roman" w:hAnsi="Times New Roman" w:cs="Times New Roman"/>
          <w:sz w:val="24"/>
          <w:szCs w:val="24"/>
        </w:rPr>
        <w:tab/>
        <w:t>Conflict of loyalties.</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35.</w:t>
      </w:r>
      <w:r w:rsidRPr="006543AB">
        <w:rPr>
          <w:rFonts w:ascii="Times New Roman" w:hAnsi="Times New Roman" w:cs="Times New Roman"/>
          <w:sz w:val="24"/>
          <w:szCs w:val="24"/>
        </w:rPr>
        <w:tab/>
        <w:t>Support for professional colleagues.</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36.</w:t>
      </w:r>
      <w:r w:rsidRPr="006543AB">
        <w:rPr>
          <w:rFonts w:ascii="Times New Roman" w:hAnsi="Times New Roman" w:cs="Times New Roman"/>
          <w:sz w:val="24"/>
          <w:szCs w:val="24"/>
        </w:rPr>
        <w:tab/>
        <w:t>Professional competence.</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37.</w:t>
      </w:r>
      <w:r w:rsidRPr="006543AB">
        <w:rPr>
          <w:rFonts w:ascii="Times New Roman" w:hAnsi="Times New Roman" w:cs="Times New Roman"/>
          <w:sz w:val="24"/>
          <w:szCs w:val="24"/>
        </w:rPr>
        <w:tab/>
        <w:t>Presentation of information.</w:t>
      </w:r>
    </w:p>
    <w:p w:rsidR="00087791" w:rsidRPr="006543AB" w:rsidRDefault="00087791" w:rsidP="00087791">
      <w:pPr>
        <w:spacing w:line="480" w:lineRule="auto"/>
        <w:rPr>
          <w:rFonts w:ascii="Times New Roman" w:hAnsi="Times New Roman" w:cs="Times New Roman"/>
          <w:sz w:val="24"/>
          <w:szCs w:val="24"/>
        </w:rPr>
      </w:pP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PART V</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ENFORCEMENT</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38.</w:t>
      </w:r>
      <w:r w:rsidRPr="006543AB">
        <w:rPr>
          <w:rFonts w:ascii="Times New Roman" w:hAnsi="Times New Roman" w:cs="Times New Roman"/>
          <w:sz w:val="24"/>
          <w:szCs w:val="24"/>
        </w:rPr>
        <w:tab/>
        <w:t>Disciplinary procedure for non-compliance.</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39.</w:t>
      </w:r>
      <w:r w:rsidRPr="006543AB">
        <w:rPr>
          <w:rFonts w:ascii="Times New Roman" w:hAnsi="Times New Roman" w:cs="Times New Roman"/>
          <w:sz w:val="24"/>
          <w:szCs w:val="24"/>
        </w:rPr>
        <w:tab/>
        <w:t>Ethics and Disciplinary Committee.</w:t>
      </w:r>
    </w:p>
    <w:p w:rsidR="00087791" w:rsidRPr="006543AB" w:rsidRDefault="00087791" w:rsidP="00087791">
      <w:pPr>
        <w:spacing w:line="480" w:lineRule="auto"/>
        <w:rPr>
          <w:rFonts w:ascii="Times New Roman" w:hAnsi="Times New Roman" w:cs="Times New Roman"/>
          <w:sz w:val="24"/>
          <w:szCs w:val="24"/>
        </w:rPr>
      </w:pP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THE PROFESSIONAL ACCOUNTANTS (CODE OF CONDUCT AND ETHICS) BY-LAWS</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(Section 45)</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[1st July, 1999]</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G.Ns. Nos.</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213 of 1999</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459 of 2000</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PART I</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PRELIMINARY PROVISIONS (bylaws 1-2)</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1.</w:t>
      </w:r>
      <w:r w:rsidRPr="006543AB">
        <w:rPr>
          <w:rFonts w:ascii="Times New Roman" w:hAnsi="Times New Roman" w:cs="Times New Roman"/>
          <w:sz w:val="24"/>
          <w:szCs w:val="24"/>
        </w:rPr>
        <w:tab/>
        <w:t>Citation</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These By-laws may be cited as the Professional Accountants (Code of Conduct and Ethics) By-laws.</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2.</w:t>
      </w:r>
      <w:r w:rsidRPr="006543AB">
        <w:rPr>
          <w:rFonts w:ascii="Times New Roman" w:hAnsi="Times New Roman" w:cs="Times New Roman"/>
          <w:sz w:val="24"/>
          <w:szCs w:val="24"/>
        </w:rPr>
        <w:tab/>
        <w:t>Interpretation</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In these By-laws unless the context otherwise requires–</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"advertisement" means the communication to the public of information as to services or skills provided by professional accountants in public practice (CPA–PP) with a view to procuring professional business;</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"client" includes an owner of business, principal shareholder, executive director or financial officer of the business entity;</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"client account" means any bank account which is used solely for the banking of clients' monies;</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"clients' monies" includes documents of title to money and other monetary instruments which can be converted into money;</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"close relative" means the relationship existing between a CPA-PP and a relative, the relationship of which could influence the professional judgement of the CPA-PP;</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"company" means any entity, whether organised for profit or not, including a parent company and its subsidiaries;</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"CPA-PP" means a certified public accountant in public practice;</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 xml:space="preserve">"CPE" means continuing professional education, a post qualifying training programme for professionally qualified members; </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"employed professional accountant" means a professional accountant employed in an industry or in commerce, or the public sector or education;</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"IFAC" means International Federation of Accountants;</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"investee" means a subsidiary on a business entity subject to the significant influence of an investor;</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"NBAA" means the National Board of Accountants and Auditors, established under the Accountants and Auditors (Registration) Act *;</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"professional accountant" means a certified public accountant or a certified public accountant in public practice either registered or unregistered with the Board;</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"receiving accountant" means an accountant in public practice to whom the existing accountant or client of the accountant has referred audit, accounting, taxation or who is consulted in order to meet the needs of the client;</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"reporting accountant" means an accountant who makes an opinion on a business entity's projects, profitability and states the assumptions underlying them;</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"TAA" means the Tanzania Association of Accountants.</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PART II</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ETHICS OF PROFESSIONAL ACCOUNTANTS (bylaws 3-10)</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3.</w:t>
      </w:r>
      <w:r w:rsidRPr="006543AB">
        <w:rPr>
          <w:rFonts w:ascii="Times New Roman" w:hAnsi="Times New Roman" w:cs="Times New Roman"/>
          <w:sz w:val="24"/>
          <w:szCs w:val="24"/>
        </w:rPr>
        <w:tab/>
        <w:t>Integrity and objectivity G.N. No. 459 of 2000</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Every professional accountant shall–</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t>be fair, intellectually honest and free of conflicts of interest;</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(b)</w:t>
      </w:r>
      <w:r w:rsidRPr="006543AB">
        <w:rPr>
          <w:rFonts w:ascii="Times New Roman" w:hAnsi="Times New Roman" w:cs="Times New Roman"/>
          <w:sz w:val="24"/>
          <w:szCs w:val="24"/>
        </w:rPr>
        <w:tab/>
        <w:t>protect the integrity of his professional services and maintain objectivity in his judgement;</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w:t>
      </w:r>
      <w:r w:rsidRPr="006543AB">
        <w:rPr>
          <w:rFonts w:ascii="Times New Roman" w:hAnsi="Times New Roman" w:cs="Times New Roman"/>
          <w:sz w:val="24"/>
          <w:szCs w:val="24"/>
        </w:rPr>
        <w:tab/>
        <w:t>neither accept nor offer gifts or entertainment which may reasonably be believed to have significant and improper influence on the professional judgement of those with whom he deals.</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In selecting situations and practices to be specifically dealt with in ethics requirements relating to objectivity, consideration shall be given to the following factors, namely–</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t>pressures that may impair objectivity; and</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t>reasonableness shall prevail in establishing standards for identifying relationships that are likely to, or appear to impair objectivity.</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4.</w:t>
      </w:r>
      <w:r w:rsidRPr="006543AB">
        <w:rPr>
          <w:rFonts w:ascii="Times New Roman" w:hAnsi="Times New Roman" w:cs="Times New Roman"/>
          <w:sz w:val="24"/>
          <w:szCs w:val="24"/>
        </w:rPr>
        <w:tab/>
        <w:t>Ethical conflicts</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A professional accountant shall be conscious of, and be alert to factors that give rise to conflicts of interest.</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The term "conflict of interest" includes–</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t>relationships or interests that may adversely influence, impair or threaten a professional accountant's integrity;</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t>an act that is contrary to technical or professional standards;</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w:t>
      </w:r>
      <w:r w:rsidRPr="006543AB">
        <w:rPr>
          <w:rFonts w:ascii="Times New Roman" w:hAnsi="Times New Roman" w:cs="Times New Roman"/>
          <w:sz w:val="24"/>
          <w:szCs w:val="24"/>
        </w:rPr>
        <w:tab/>
        <w:t>divided loyalty between the professional accountant's superior and the required professional standards of conduct;</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(d)</w:t>
      </w:r>
      <w:r w:rsidRPr="006543AB">
        <w:rPr>
          <w:rFonts w:ascii="Times New Roman" w:hAnsi="Times New Roman" w:cs="Times New Roman"/>
          <w:sz w:val="24"/>
          <w:szCs w:val="24"/>
        </w:rPr>
        <w:tab/>
        <w:t>published misleading information which may be to the advantage of the employer or client and which may or may not benefit the professional accountant.</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 A professional accountant shall follow the established policies of the employing organisation to seek a resolution of any conflict of interest.</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 If the policy sought for under paragraph (3) does not resolve the ethical conflict, the following shall be considered, namely–</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t>to review the conflict–</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(i)</w:t>
      </w:r>
      <w:r w:rsidRPr="006543AB">
        <w:rPr>
          <w:rFonts w:ascii="Times New Roman" w:hAnsi="Times New Roman" w:cs="Times New Roman"/>
          <w:sz w:val="24"/>
          <w:szCs w:val="24"/>
        </w:rPr>
        <w:tab/>
        <w:t>with the immediate superior and where the professional accountant determines to go to the next higher managerial level he shall notify the immediate superior of the decision, unless the immediate superior is involved in the conflict, he shall raise the issue with the next higher level of management;</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(ii)</w:t>
      </w:r>
      <w:r w:rsidRPr="006543AB">
        <w:rPr>
          <w:rFonts w:ascii="Times New Roman" w:hAnsi="Times New Roman" w:cs="Times New Roman"/>
          <w:sz w:val="24"/>
          <w:szCs w:val="24"/>
        </w:rPr>
        <w:tab/>
        <w:t>where the immediate superior is the Chief Executive Officer (or his equivalent) the next higher reviewing level may be the Executive Committee, Board of Directors, non-executive Directors, Trustees, Partners' Management Committee or shareholders;</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t>to seek counselling and advice with an independent advisor, by either NBAA or the TAA, to obtain possible courses of action;</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w:t>
      </w:r>
      <w:r w:rsidRPr="006543AB">
        <w:rPr>
          <w:rFonts w:ascii="Times New Roman" w:hAnsi="Times New Roman" w:cs="Times New Roman"/>
          <w:sz w:val="24"/>
          <w:szCs w:val="24"/>
        </w:rPr>
        <w:tab/>
        <w:t>if the ethical conflict is on significant matter, the professional accountant shall resign and submit an information memorandum to an appropriate representative of that organisation.</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(5) A senior professional accountant shall ensure that policies are established and followed within his employing organisation for resolving ethical conflicts.</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(6) NBAA and TAA shall ensure that confidential counselling and advice is provided to members who experience ethical conflicts.</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5.</w:t>
      </w:r>
      <w:r w:rsidRPr="006543AB">
        <w:rPr>
          <w:rFonts w:ascii="Times New Roman" w:hAnsi="Times New Roman" w:cs="Times New Roman"/>
          <w:sz w:val="24"/>
          <w:szCs w:val="24"/>
        </w:rPr>
        <w:tab/>
        <w:t>Professional competence</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A professional accountant–</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t>shall not portray himself as having an expertise that he does not possess;</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t>shall adopt a programme designed to ensure quality control in the performance of professional services in accordance with national and international standards.</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Professional competence is divided into two phases, namely–</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t>attainment of professional competence;</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t>maintenance of professional competence.</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 The attainment of professional competence requires initially a high standard of general education followed by specific education, training and examination in professionally relevant subjects and a minimum of three years' working experience.</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 The maintenance of professional competence requires–</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t>continuing awareness of developments in the accountancy profession including relevant national and international pronouncements on accounting, auditing and on relevant regulations and statutory requirements;</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(b)</w:t>
      </w:r>
      <w:r w:rsidRPr="006543AB">
        <w:rPr>
          <w:rFonts w:ascii="Times New Roman" w:hAnsi="Times New Roman" w:cs="Times New Roman"/>
          <w:sz w:val="24"/>
          <w:szCs w:val="24"/>
        </w:rPr>
        <w:tab/>
        <w:t>a minimum of 40 hours and 60 hours per year of post qualifying training requirements for Certified Public Accountants and Certified Public Accountants in Public Practice respectively.</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6.</w:t>
      </w:r>
      <w:r w:rsidRPr="006543AB">
        <w:rPr>
          <w:rFonts w:ascii="Times New Roman" w:hAnsi="Times New Roman" w:cs="Times New Roman"/>
          <w:sz w:val="24"/>
          <w:szCs w:val="24"/>
        </w:rPr>
        <w:tab/>
        <w:t>Confidentiality G.N. No. 459 of 2000</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A professional accountant shall–</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t>respect the confidentiality of information about a client's or employer's affairs acquired in the course of professional services even after the end of the relationship between the professional accountant and the client or employer;</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t>observe confidentiality of information unless specific authority is given or there is a legal or professional duty to disclose that information;</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w:t>
      </w:r>
      <w:r w:rsidRPr="006543AB">
        <w:rPr>
          <w:rFonts w:ascii="Times New Roman" w:hAnsi="Times New Roman" w:cs="Times New Roman"/>
          <w:sz w:val="24"/>
          <w:szCs w:val="24"/>
        </w:rPr>
        <w:tab/>
        <w:t>ensure that staff under his control and persons from whom advice and assistance is obtained respect the principle of confidentiality.</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The term "confidentiality" includes not using or appearing not to use information acquired in the course of performing professional duties for personal advantage or for the advantage of a third party.</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 In determining the nature and extent of the duty of confidentiality and the circumstances in which disclosure of information acquired during the course of providing professional services is permitted, the following issues are to be considered, namely–</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t>when the authority to disclose is given by the client or the employer the interests of all parties including third parties whose interests might be affected;</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(b)</w:t>
      </w:r>
      <w:r w:rsidRPr="006543AB">
        <w:rPr>
          <w:rFonts w:ascii="Times New Roman" w:hAnsi="Times New Roman" w:cs="Times New Roman"/>
          <w:sz w:val="24"/>
          <w:szCs w:val="24"/>
        </w:rPr>
        <w:tab/>
        <w:t>when there is a professional duty or right to disclose–</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(i)</w:t>
      </w:r>
      <w:r w:rsidRPr="006543AB">
        <w:rPr>
          <w:rFonts w:ascii="Times New Roman" w:hAnsi="Times New Roman" w:cs="Times New Roman"/>
          <w:sz w:val="24"/>
          <w:szCs w:val="24"/>
        </w:rPr>
        <w:tab/>
        <w:t>to comply with technical standards and ethical requirements;</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(ii)</w:t>
      </w:r>
      <w:r w:rsidRPr="006543AB">
        <w:rPr>
          <w:rFonts w:ascii="Times New Roman" w:hAnsi="Times New Roman" w:cs="Times New Roman"/>
          <w:sz w:val="24"/>
          <w:szCs w:val="24"/>
        </w:rPr>
        <w:tab/>
        <w:t>to protect the professional interests of a professional accountant in legal proceedings;</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(iii)</w:t>
      </w:r>
      <w:r w:rsidRPr="006543AB">
        <w:rPr>
          <w:rFonts w:ascii="Times New Roman" w:hAnsi="Times New Roman" w:cs="Times New Roman"/>
          <w:sz w:val="24"/>
          <w:szCs w:val="24"/>
        </w:rPr>
        <w:tab/>
        <w:t>to comply with the quality review of a member body or professional body; and</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(iv)</w:t>
      </w:r>
      <w:r w:rsidRPr="006543AB">
        <w:rPr>
          <w:rFonts w:ascii="Times New Roman" w:hAnsi="Times New Roman" w:cs="Times New Roman"/>
          <w:sz w:val="24"/>
          <w:szCs w:val="24"/>
        </w:rPr>
        <w:tab/>
        <w:t>to respond to an inquiry by a member body or a regulatory body.</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 Disclosure of confidential information may be required by law under the following circumstances, namely–</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t>to produce documents or to give evidence in legal proceedings;</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t>to disclose to the appropriate public authorities infringements of the law which comes to light.</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7.</w:t>
      </w:r>
      <w:r w:rsidRPr="006543AB">
        <w:rPr>
          <w:rFonts w:ascii="Times New Roman" w:hAnsi="Times New Roman" w:cs="Times New Roman"/>
          <w:sz w:val="24"/>
          <w:szCs w:val="24"/>
        </w:rPr>
        <w:tab/>
        <w:t>Tax practice G.N. No. 459 of 2000</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 professional accountant who renders professional tax services–</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t>shall put forward the best position in favour of a client or an employer in accordance with the law but shall not in any way impair integrity and objectivity;</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t xml:space="preserve">shall take necessary steps to ensure that the client or employer are aware of the limitations attaching to tax advice and services so that they do not misinterpret an expression of </w:t>
      </w:r>
      <w:r w:rsidRPr="006543AB">
        <w:rPr>
          <w:rFonts w:ascii="Times New Roman" w:hAnsi="Times New Roman" w:cs="Times New Roman"/>
          <w:sz w:val="24"/>
          <w:szCs w:val="24"/>
        </w:rPr>
        <w:lastRenderedPageBreak/>
        <w:t>opinion as an assertion of fact; and that the tax return prepared and the tax advice offered are beyond challenge;</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w:t>
      </w:r>
      <w:r w:rsidRPr="006543AB">
        <w:rPr>
          <w:rFonts w:ascii="Times New Roman" w:hAnsi="Times New Roman" w:cs="Times New Roman"/>
          <w:sz w:val="24"/>
          <w:szCs w:val="24"/>
        </w:rPr>
        <w:tab/>
        <w:t>shall, in the preparation of a tax return advise the client or the employer that the responsibility for the content of the return rests primarily with the client or employer; and that the tax return is properly prepared on the basis of the information received;</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(d)</w:t>
      </w:r>
      <w:r w:rsidRPr="006543AB">
        <w:rPr>
          <w:rFonts w:ascii="Times New Roman" w:hAnsi="Times New Roman" w:cs="Times New Roman"/>
          <w:sz w:val="24"/>
          <w:szCs w:val="24"/>
        </w:rPr>
        <w:tab/>
        <w:t>shall record the tax advice or opinion of material consequence given to a client or an employer, either in the form of a letter or in a memorandum for the files;</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(e)</w:t>
      </w:r>
      <w:r w:rsidRPr="006543AB">
        <w:rPr>
          <w:rFonts w:ascii="Times New Roman" w:hAnsi="Times New Roman" w:cs="Times New Roman"/>
          <w:sz w:val="24"/>
          <w:szCs w:val="24"/>
        </w:rPr>
        <w:tab/>
        <w:t>shall not be associated with any return or communication in which there is reason to believe that–</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(i)</w:t>
      </w:r>
      <w:r w:rsidRPr="006543AB">
        <w:rPr>
          <w:rFonts w:ascii="Times New Roman" w:hAnsi="Times New Roman" w:cs="Times New Roman"/>
          <w:sz w:val="24"/>
          <w:szCs w:val="24"/>
        </w:rPr>
        <w:tab/>
        <w:t>it contains a false or misleading statement;</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(ii)</w:t>
      </w:r>
      <w:r w:rsidRPr="006543AB">
        <w:rPr>
          <w:rFonts w:ascii="Times New Roman" w:hAnsi="Times New Roman" w:cs="Times New Roman"/>
          <w:sz w:val="24"/>
          <w:szCs w:val="24"/>
        </w:rPr>
        <w:tab/>
        <w:t>it contains statements or information furnished recklessly or without any real knowledge of whether they are true or false;</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(iii)</w:t>
      </w:r>
      <w:r w:rsidRPr="006543AB">
        <w:rPr>
          <w:rFonts w:ascii="Times New Roman" w:hAnsi="Times New Roman" w:cs="Times New Roman"/>
          <w:sz w:val="24"/>
          <w:szCs w:val="24"/>
        </w:rPr>
        <w:tab/>
        <w:t>omits or obscures information required to be submitted and that the omission or obscurity will mislead the revenue authorities;</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(f)</w:t>
      </w:r>
      <w:r w:rsidRPr="006543AB">
        <w:rPr>
          <w:rFonts w:ascii="Times New Roman" w:hAnsi="Times New Roman" w:cs="Times New Roman"/>
          <w:sz w:val="24"/>
          <w:szCs w:val="24"/>
        </w:rPr>
        <w:tab/>
        <w:t>may prepare tax returns involving the use of estimates if that use is generally acceptable or if it is impractical under the circumstances to obtain exact data and the estimates shall be presented in such a manner so as to avoid the implication of greater accuracy than what exists;</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(g)</w:t>
      </w:r>
      <w:r w:rsidRPr="006543AB">
        <w:rPr>
          <w:rFonts w:ascii="Times New Roman" w:hAnsi="Times New Roman" w:cs="Times New Roman"/>
          <w:sz w:val="24"/>
          <w:szCs w:val="24"/>
        </w:rPr>
        <w:tab/>
        <w:t>may rely on information furnished by a client or an employer provided that the information appears reasonable and where appropriate shall encourage supporting data to be provided; and</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(h)</w:t>
      </w:r>
      <w:r w:rsidRPr="006543AB">
        <w:rPr>
          <w:rFonts w:ascii="Times New Roman" w:hAnsi="Times New Roman" w:cs="Times New Roman"/>
          <w:sz w:val="24"/>
          <w:szCs w:val="24"/>
        </w:rPr>
        <w:tab/>
        <w:t>shall make use of the clients' returns for prior years whenever feasible,</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and make reasonable inquiries when the information presented appears to be incorrect or incomplete and to make reference to the books and records of the business operations.</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8.</w:t>
      </w:r>
      <w:r w:rsidRPr="006543AB">
        <w:rPr>
          <w:rFonts w:ascii="Times New Roman" w:hAnsi="Times New Roman" w:cs="Times New Roman"/>
          <w:sz w:val="24"/>
          <w:szCs w:val="24"/>
        </w:rPr>
        <w:tab/>
        <w:t>Material error or omission in tax returns G.N. No. 459 of 2000</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Where a professional accountant learns–</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t>of a material error or omission in a tax return of a previous year, with which he may or may not have been associated;</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t>of a failure to file a required tax return,</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he shall promptly advise the client or the employer of the error or omission and recommend that disclosure be made to the revenue authorities.</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If the client or the employer does not correct the error, the professional accountant shall–</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t>inform the client or the employer that it is not possible act for them in connection with that return or other related information submitted to the authorities; and</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t>consider whether continued association with the client or employer in any capacity is consistent with professional responsibilities.</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 If the professional accountant concludes that a professional relationship with the client or employer can be continued, all reasonable steps shall be taken to ensure that the error is not repeated in subsequent tax returns.</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(4) In circumstances where professional or statutory requirements require the professional accountant to inform the revenue authorities according to paragraph (2), the professional accountant shall advise the client or employer of the position before informing the authorities, and shall give no further information to the authorities without the consent of the client or employer unless required to do so by law.</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9.</w:t>
      </w:r>
      <w:r w:rsidRPr="006543AB">
        <w:rPr>
          <w:rFonts w:ascii="Times New Roman" w:hAnsi="Times New Roman" w:cs="Times New Roman"/>
          <w:sz w:val="24"/>
          <w:szCs w:val="24"/>
        </w:rPr>
        <w:tab/>
        <w:t>Cross border activities</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A professional accountant qualifying in one country may reside in another country or may temporarily visit that country to perform professional services:</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Provided that he carries out his professional services in accordance with the relevant technical standards and ethical requirements.</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In considering the application for ethical requirements in cross border activities, the following shall be taken into account, namely–</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t>whether a professional accountant is a member of the profession in Tanzania only; or</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t>whether a professional accountant is a member of the profession in the country where the services are performed.</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 When a professional accountant performs services in a country other than Tanzania, and differences on specific matters on ethical requirements exist between two countries, the following ethical requirements shall apply, namely–</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t>the IFAC Code of Ethics where the ethical requirements of the country in which the services are being performed are less strict than IFAC Code of Ethics;</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(b)</w:t>
      </w:r>
      <w:r w:rsidRPr="006543AB">
        <w:rPr>
          <w:rFonts w:ascii="Times New Roman" w:hAnsi="Times New Roman" w:cs="Times New Roman"/>
          <w:sz w:val="24"/>
          <w:szCs w:val="24"/>
        </w:rPr>
        <w:tab/>
        <w:t>the ethical requirements in the country where the services are being performed, if the ethical requirements of the country in which services are being performed are stricter than IFAC Code of Ethics;</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w:t>
      </w:r>
      <w:r w:rsidRPr="006543AB">
        <w:rPr>
          <w:rFonts w:ascii="Times New Roman" w:hAnsi="Times New Roman" w:cs="Times New Roman"/>
          <w:sz w:val="24"/>
          <w:szCs w:val="24"/>
        </w:rPr>
        <w:tab/>
        <w:t>the local ethical requirements, where the ethical requirements in Tanzania are mandatory or services performed outside the country are stricter than the ethical requirements set out in subparagraphs (a) and (b).</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10.</w:t>
      </w:r>
      <w:r w:rsidRPr="006543AB">
        <w:rPr>
          <w:rFonts w:ascii="Times New Roman" w:hAnsi="Times New Roman" w:cs="Times New Roman"/>
          <w:sz w:val="24"/>
          <w:szCs w:val="24"/>
        </w:rPr>
        <w:tab/>
        <w:t>Advertising professional services G.N. No. 459 of 2000</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In marketing and promoting professional services, a professional accountant shall not–</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t>advertise the professional services in newspapers, catalogues and signboards and any other means of advertisement:</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r>
      <w:r w:rsidRPr="006543AB">
        <w:rPr>
          <w:rFonts w:ascii="Times New Roman" w:hAnsi="Times New Roman" w:cs="Times New Roman"/>
          <w:sz w:val="24"/>
          <w:szCs w:val="24"/>
        </w:rPr>
        <w:tab/>
        <w:t>Provided that a signboard announcing the location of a registered office premises or the listing of a name and address in a public directory shall not constitute an advertisement;</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t>use any means that brings the profession into disrepute;</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w:t>
      </w:r>
      <w:r w:rsidRPr="006543AB">
        <w:rPr>
          <w:rFonts w:ascii="Times New Roman" w:hAnsi="Times New Roman" w:cs="Times New Roman"/>
          <w:sz w:val="24"/>
          <w:szCs w:val="24"/>
        </w:rPr>
        <w:tab/>
        <w:t>make exaggerated claims for the services they are able to offer, the qualifications they possess or experience they have gained; and</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(d)</w:t>
      </w:r>
      <w:r w:rsidRPr="006543AB">
        <w:rPr>
          <w:rFonts w:ascii="Times New Roman" w:hAnsi="Times New Roman" w:cs="Times New Roman"/>
          <w:sz w:val="24"/>
          <w:szCs w:val="24"/>
        </w:rPr>
        <w:tab/>
        <w:t>denigrate the work of other professional accountants.</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PART III</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PROFESSIONAL ACCOUNTANTS IN PUBLIC PRACTICE (CPA-PP) (bylaws 11-33)</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11.</w:t>
      </w:r>
      <w:r w:rsidRPr="006543AB">
        <w:rPr>
          <w:rFonts w:ascii="Times New Roman" w:hAnsi="Times New Roman" w:cs="Times New Roman"/>
          <w:sz w:val="24"/>
          <w:szCs w:val="24"/>
        </w:rPr>
        <w:tab/>
        <w:t>Integrity, objectivity and independence</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 CPA-PP when undertaking a reporting assignment shall be and shall appear to be free of any interest which is incompatible with integrity, objectivity and independence.</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12.</w:t>
      </w:r>
      <w:r w:rsidRPr="006543AB">
        <w:rPr>
          <w:rFonts w:ascii="Times New Roman" w:hAnsi="Times New Roman" w:cs="Times New Roman"/>
          <w:sz w:val="24"/>
          <w:szCs w:val="24"/>
        </w:rPr>
        <w:tab/>
        <w:t>Financial involvement G.N. No. 459 of 2000</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Financial involvement of a CPA-PP with a client may arise in the following ways, namely–</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t>by having a direct financial interest in a client;</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t>by having an indirect material financial interest;</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w:t>
      </w:r>
      <w:r w:rsidRPr="006543AB">
        <w:rPr>
          <w:rFonts w:ascii="Times New Roman" w:hAnsi="Times New Roman" w:cs="Times New Roman"/>
          <w:sz w:val="24"/>
          <w:szCs w:val="24"/>
        </w:rPr>
        <w:tab/>
        <w:t>by having a loan to or from the client or any officer, director or principal shareholder of a client company;</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(d)</w:t>
      </w:r>
      <w:r w:rsidRPr="006543AB">
        <w:rPr>
          <w:rFonts w:ascii="Times New Roman" w:hAnsi="Times New Roman" w:cs="Times New Roman"/>
          <w:sz w:val="24"/>
          <w:szCs w:val="24"/>
        </w:rPr>
        <w:tab/>
        <w:t>by holding a financial interest in a joint venture with a client or an employee of a client;</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(e)</w:t>
      </w:r>
      <w:r w:rsidRPr="006543AB">
        <w:rPr>
          <w:rFonts w:ascii="Times New Roman" w:hAnsi="Times New Roman" w:cs="Times New Roman"/>
          <w:sz w:val="24"/>
          <w:szCs w:val="24"/>
        </w:rPr>
        <w:tab/>
        <w:t>by having a financial interest in a non-client that has an investor or investee relationship with the client.</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"A direct financial interest" includes an interest held by the spouse, dependent child or a close relative of the CPA-PP.</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 A CPA-PP shall not accept a reporting assignment–</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t xml:space="preserve">on a company, where trustee shareholding is either a sole practitioner or a partner in a practice or a spouse or a close relative of that sole practitioner of partner in a trustee of a </w:t>
      </w:r>
      <w:r w:rsidRPr="006543AB">
        <w:rPr>
          <w:rFonts w:ascii="Times New Roman" w:hAnsi="Times New Roman" w:cs="Times New Roman"/>
          <w:sz w:val="24"/>
          <w:szCs w:val="24"/>
        </w:rPr>
        <w:lastRenderedPageBreak/>
        <w:t>trust with a holding in shares material to the size of the issued share capital or the total assets of the trust;</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t>if he has served as an executor and administrator of any estate.</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 Where a CPA-PP inherits shares in a client company or marries a shareholder or in a take-over situation, the shares shall be disposed of at the earliest practicable date or the CPA-PP shall decline any further reporting assignment on that company.</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(5) A CPA-PP, or his spouse or dependent child or a close relative shall not make a loan to a client or guarantee a client's borrowing or accept a loan from a client or have borrowings guaranteed by a client, unless the borrowings apply to loans to, or from banks or other similar financial institutions made under normal lending procedures and terms.</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(6) A professional accountant shall not have any direct or indirect financial interest to a non-client investee who is material to a client investor.</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(7) In a relationship between a client and a non-client joint venture, the independence of a professional accountant shall not be considered to be impaired if the professional accountant is not reasonably expected to have knowledge of financial interests or relationship involving the joint venture.</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(8) A professional accountant shall be independent of a client and all its parents, subsidiaries and affiliate companies.</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13.</w:t>
      </w:r>
      <w:r w:rsidRPr="006543AB">
        <w:rPr>
          <w:rFonts w:ascii="Times New Roman" w:hAnsi="Times New Roman" w:cs="Times New Roman"/>
          <w:sz w:val="24"/>
          <w:szCs w:val="24"/>
        </w:rPr>
        <w:tab/>
        <w:t>Appointment in companies</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A professional accountant in public practice shall not be–</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(a)</w:t>
      </w:r>
      <w:r w:rsidRPr="006543AB">
        <w:rPr>
          <w:rFonts w:ascii="Times New Roman" w:hAnsi="Times New Roman" w:cs="Times New Roman"/>
          <w:sz w:val="24"/>
          <w:szCs w:val="24"/>
        </w:rPr>
        <w:tab/>
        <w:t>a member of the Board, or an officer or employee of a company;</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t>a partner of, or in the employment of a member of the Board,</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within the period under current review or within a period of not less than two years preceding an assignment.</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A CPA-PP may offer advisory services in the fields of management and taxation:</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Provided there is no involvement in or responsibility assumed for management decisions.</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14.</w:t>
      </w:r>
      <w:r w:rsidRPr="006543AB">
        <w:rPr>
          <w:rFonts w:ascii="Times New Roman" w:hAnsi="Times New Roman" w:cs="Times New Roman"/>
          <w:sz w:val="24"/>
          <w:szCs w:val="24"/>
        </w:rPr>
        <w:tab/>
        <w:t>Preparation of client's accounting records</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In the preparation of accounting records for a client, a CPA-PP shall observe the following, namely–</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t>not to have any relationship with the client or any conflict of interest which would impair integrity or independence;</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t>to accept responsibility for statements made by him; and</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w:t>
      </w:r>
      <w:r w:rsidRPr="006543AB">
        <w:rPr>
          <w:rFonts w:ascii="Times New Roman" w:hAnsi="Times New Roman" w:cs="Times New Roman"/>
          <w:sz w:val="24"/>
          <w:szCs w:val="24"/>
        </w:rPr>
        <w:tab/>
        <w:t>not to assume the role of an employee or of management conducting the operations of an enterprise.</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15.</w:t>
      </w:r>
      <w:r w:rsidRPr="006543AB">
        <w:rPr>
          <w:rFonts w:ascii="Times New Roman" w:hAnsi="Times New Roman" w:cs="Times New Roman"/>
          <w:sz w:val="24"/>
          <w:szCs w:val="24"/>
        </w:rPr>
        <w:tab/>
        <w:t>Personal and family relationships</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A professional accountant shall ensure that an independent approach to any assignment is not endangered as a consequence of any personal or family relationship.</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For the purposes of this by-law "family relationship of a client" includes a child, a spouse, parent, grandparent, parent-in-law, brother, sister, brother-in-law or sister-in-law.</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16.</w:t>
      </w:r>
      <w:r w:rsidRPr="006543AB">
        <w:rPr>
          <w:rFonts w:ascii="Times New Roman" w:hAnsi="Times New Roman" w:cs="Times New Roman"/>
          <w:sz w:val="24"/>
          <w:szCs w:val="24"/>
        </w:rPr>
        <w:tab/>
        <w:t>Income</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When a receipt of recurring fees from a client or group of connected clients represents a large proportion of the total gross fees of 30% of a professional accountant in public practice or of the practice as a whole, the dependence on that client or group of clients shall come under scrutiny.</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17.</w:t>
      </w:r>
      <w:r w:rsidRPr="006543AB">
        <w:rPr>
          <w:rFonts w:ascii="Times New Roman" w:hAnsi="Times New Roman" w:cs="Times New Roman"/>
          <w:sz w:val="24"/>
          <w:szCs w:val="24"/>
        </w:rPr>
        <w:tab/>
        <w:t>Contingency fees</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Contingency fees shall not be allowed unless they are fixed by a court of law or a public authority.</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18.</w:t>
      </w:r>
      <w:r w:rsidRPr="006543AB">
        <w:rPr>
          <w:rFonts w:ascii="Times New Roman" w:hAnsi="Times New Roman" w:cs="Times New Roman"/>
          <w:sz w:val="24"/>
          <w:szCs w:val="24"/>
        </w:rPr>
        <w:tab/>
        <w:t>Goods and services</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Goods and services shall not be accepted by a CPA-PP, his spouse, dependent child or a close relative except on business terms which are not more favourable than those generally available in the open market.</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Hospitality and gifts on a scale that is not commensurate with the normal courtesies of social life shall not be accepted.</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19.</w:t>
      </w:r>
      <w:r w:rsidRPr="006543AB">
        <w:rPr>
          <w:rFonts w:ascii="Times New Roman" w:hAnsi="Times New Roman" w:cs="Times New Roman"/>
          <w:sz w:val="24"/>
          <w:szCs w:val="24"/>
        </w:rPr>
        <w:tab/>
        <w:t>Capital ownership</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The capital of a practice shall–</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t>be owned entirely by professional accountants in public practice;</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t>not substantially consist of borrowings from others in a way that might constitute an evasion of the rule concerning capital ownership.</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(2) Ownership of capital by persons other than the professional accountants in public practice, may be permitted in a case where the majority of the ownership of such capital and the voting rights lies only with the professional accountants in public practice.</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20.</w:t>
      </w:r>
      <w:r w:rsidRPr="006543AB">
        <w:rPr>
          <w:rFonts w:ascii="Times New Roman" w:hAnsi="Times New Roman" w:cs="Times New Roman"/>
          <w:sz w:val="24"/>
          <w:szCs w:val="24"/>
        </w:rPr>
        <w:tab/>
        <w:t>Long association of senior personnel with audit clients</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A CPA-PP shall take steps to ensure that objectivity and independence are maintained on the audit engagement over a prolonged period of time of the same senior personnel.</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The CPA-PP shall–</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t>provide for an orderly rotation of senior personnel serving on engagements; or</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t>set up standing arrangements to consult externally with other experienced professional accountant or with any available service provided by the professional body for the purpose.</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21.</w:t>
      </w:r>
      <w:r w:rsidRPr="006543AB">
        <w:rPr>
          <w:rFonts w:ascii="Times New Roman" w:hAnsi="Times New Roman" w:cs="Times New Roman"/>
          <w:sz w:val="24"/>
          <w:szCs w:val="24"/>
        </w:rPr>
        <w:tab/>
        <w:t>Professional competence</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 CPA-PP shall refrain from agreeing to perform professional service for which they are not competent to carry out unless competent advice and assistance is obtained.</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22.</w:t>
      </w:r>
      <w:r w:rsidRPr="006543AB">
        <w:rPr>
          <w:rFonts w:ascii="Times New Roman" w:hAnsi="Times New Roman" w:cs="Times New Roman"/>
          <w:sz w:val="24"/>
          <w:szCs w:val="24"/>
        </w:rPr>
        <w:tab/>
        <w:t>Fees G.N. No. 459 of 2000</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The value of the professional services performed for a client shall take into account the existing legal, social and economic conditions in the following issues namely–</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t>the skill and knowledge required;</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(b)</w:t>
      </w:r>
      <w:r w:rsidRPr="006543AB">
        <w:rPr>
          <w:rFonts w:ascii="Times New Roman" w:hAnsi="Times New Roman" w:cs="Times New Roman"/>
          <w:sz w:val="24"/>
          <w:szCs w:val="24"/>
        </w:rPr>
        <w:tab/>
        <w:t>the level of training and experience of the personnel engaged in performing the professional services;</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w:t>
      </w:r>
      <w:r w:rsidRPr="006543AB">
        <w:rPr>
          <w:rFonts w:ascii="Times New Roman" w:hAnsi="Times New Roman" w:cs="Times New Roman"/>
          <w:sz w:val="24"/>
          <w:szCs w:val="24"/>
        </w:rPr>
        <w:tab/>
        <w:t>the time occupied by each person engaged in performing the professional services;</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(d)</w:t>
      </w:r>
      <w:r w:rsidRPr="006543AB">
        <w:rPr>
          <w:rFonts w:ascii="Times New Roman" w:hAnsi="Times New Roman" w:cs="Times New Roman"/>
          <w:sz w:val="24"/>
          <w:szCs w:val="24"/>
        </w:rPr>
        <w:tab/>
        <w:t>the degree of responsibility taken to perform those services, influenced by the legal, social and economic conditions existing in the country.</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A CPA-PP shall not make a representation that specific professional services shall be performed for either a state fee, estimated fee or fee range, if it is likely at the time of the representation such fees will be substantially increased, unless the prospective client is advised of that likelihood.</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 When performing professional services for a client, a CPA-PP may, if necessary or expedient charged a pre-arranged fee taking into account matters stated under paragraph (1) and (2) of this by-law.</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 A CPA-PP may charge a client a lower fee than has previously been charged for similar services, provided the fee is calculated in accordance to factors stated under paragraphs (1) and (2) of this by-law.</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(5) Out of pocket expenses attributable directly to the professional services performed for a client shall be charged to that client in addition to the professional fees, and valid receipts shall be attached to support the expenses.</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(6) Before commencement of any engagement, the client and the CPA-PP shall clearly agree on billing arrangements and the basis on which fees are computed in writing.</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23.</w:t>
      </w:r>
      <w:r w:rsidRPr="006543AB">
        <w:rPr>
          <w:rFonts w:ascii="Times New Roman" w:hAnsi="Times New Roman" w:cs="Times New Roman"/>
          <w:sz w:val="24"/>
          <w:szCs w:val="24"/>
        </w:rPr>
        <w:tab/>
        <w:t>Commission</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A CPA-PP shall not–</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t>pay a commission to obtain a client;</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t>accept a commission for a referral of a client to a third party;</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w:t>
      </w:r>
      <w:r w:rsidRPr="006543AB">
        <w:rPr>
          <w:rFonts w:ascii="Times New Roman" w:hAnsi="Times New Roman" w:cs="Times New Roman"/>
          <w:sz w:val="24"/>
          <w:szCs w:val="24"/>
        </w:rPr>
        <w:tab/>
        <w:t>accept a commission for a referral of the products or services of others.</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Payment and receipt of referral fees between CPA-PP when no services are performed by the referring accountant are regarded as commission under this by-law.</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 A CPA-PP may enter into an arrangement for the whole or part of an accounting practice requiring payments to individuals formerly engaged in the practice or payments to their heirs or estates.</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24.</w:t>
      </w:r>
      <w:r w:rsidRPr="006543AB">
        <w:rPr>
          <w:rFonts w:ascii="Times New Roman" w:hAnsi="Times New Roman" w:cs="Times New Roman"/>
          <w:sz w:val="24"/>
          <w:szCs w:val="24"/>
        </w:rPr>
        <w:tab/>
        <w:t>Incompatible activities</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 CPA-PP shall not–</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t>concurrently engage in any business, occupation or activity which impairs or might impair integrity, objectivity, independence or the good reputation of the profession; or</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t>simultaneously engage in another business, occupation or activity not related to professional services which has the effect of not allowing the CPA-PP to properly conduct a professional practice in accordance with the fundamental ethical principles of the accountancy profession:</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r>
      <w:r w:rsidRPr="006543AB">
        <w:rPr>
          <w:rFonts w:ascii="Times New Roman" w:hAnsi="Times New Roman" w:cs="Times New Roman"/>
          <w:sz w:val="24"/>
          <w:szCs w:val="24"/>
        </w:rPr>
        <w:tab/>
      </w:r>
      <w:r w:rsidRPr="006543AB">
        <w:rPr>
          <w:rFonts w:ascii="Times New Roman" w:hAnsi="Times New Roman" w:cs="Times New Roman"/>
          <w:sz w:val="24"/>
          <w:szCs w:val="24"/>
        </w:rPr>
        <w:tab/>
        <w:t>Provided that rendering of two or more types of professional services concurrently shall not be regarded as incompatible activities.</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25.</w:t>
      </w:r>
      <w:r w:rsidRPr="006543AB">
        <w:rPr>
          <w:rFonts w:ascii="Times New Roman" w:hAnsi="Times New Roman" w:cs="Times New Roman"/>
          <w:sz w:val="24"/>
          <w:szCs w:val="24"/>
        </w:rPr>
        <w:tab/>
        <w:t>Client's monies</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A CPA-PP entrusted with monies belonging to others shall–</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t>keep such monies separately from personal or firm monies in one or more bank accounts;</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t>use such monies only for the purpose for which they are intended;</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w:t>
      </w:r>
      <w:r w:rsidRPr="006543AB">
        <w:rPr>
          <w:rFonts w:ascii="Times New Roman" w:hAnsi="Times New Roman" w:cs="Times New Roman"/>
          <w:sz w:val="24"/>
          <w:szCs w:val="24"/>
        </w:rPr>
        <w:tab/>
        <w:t>at all times, be ready to account for those monies to any person entitled to that accounting;</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(d)</w:t>
      </w:r>
      <w:r w:rsidRPr="006543AB">
        <w:rPr>
          <w:rFonts w:ascii="Times New Roman" w:hAnsi="Times New Roman" w:cs="Times New Roman"/>
          <w:sz w:val="24"/>
          <w:szCs w:val="24"/>
        </w:rPr>
        <w:tab/>
        <w:t>shall keep the books of account as will enable him to establish clearly his dealings generally with clients' monies and in particular the monies of each individual client;</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(e)</w:t>
      </w:r>
      <w:r w:rsidRPr="006543AB">
        <w:rPr>
          <w:rFonts w:ascii="Times New Roman" w:hAnsi="Times New Roman" w:cs="Times New Roman"/>
          <w:sz w:val="24"/>
          <w:szCs w:val="24"/>
        </w:rPr>
        <w:tab/>
        <w:t>provide a statement of account to the client at least once a year;</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(f)</w:t>
      </w:r>
      <w:r w:rsidRPr="006543AB">
        <w:rPr>
          <w:rFonts w:ascii="Times New Roman" w:hAnsi="Times New Roman" w:cs="Times New Roman"/>
          <w:sz w:val="24"/>
          <w:szCs w:val="24"/>
        </w:rPr>
        <w:tab/>
        <w:t>deposit monies without delay to the credit of a client account or safeguard moneys against unauthorised use if in the form of documents of title to money or documents of title which can be converted into money;</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(g)</w:t>
      </w:r>
      <w:r w:rsidRPr="006543AB">
        <w:rPr>
          <w:rFonts w:ascii="Times New Roman" w:hAnsi="Times New Roman" w:cs="Times New Roman"/>
          <w:sz w:val="24"/>
          <w:szCs w:val="24"/>
        </w:rPr>
        <w:tab/>
        <w:t>with the concurrence of a client, place monies that seems likely to remain on client account for a significant period of time.</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Monies may only be drawn from the client account on the instructions of the client.</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(3) Payments from a client account shall not exceed the balance standing to the credit of the client.</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 Fees due from a client may be drawn from client's monies provided that the client has agreed to that withdrawal after being notified of the amount of such fees.</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(5) Interests earned on client's monies shall be credited to the clients' account.</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26.</w:t>
      </w:r>
      <w:r w:rsidRPr="006543AB">
        <w:rPr>
          <w:rFonts w:ascii="Times New Roman" w:hAnsi="Times New Roman" w:cs="Times New Roman"/>
          <w:sz w:val="24"/>
          <w:szCs w:val="24"/>
        </w:rPr>
        <w:tab/>
        <w:t>Relations with other professional accountants in public practice G.N. No. 459 of 2000</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A client or an existing accountant in consultation with the client may request a receiving accountant practising at locations where an existing accountant does not practise, to perform such professional services as necessary to complete the assignment.</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A CPA-PP shall undertake services which he can expect to complete with professional competence.</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 A CPA-PP shall not attempt to restrict in any way the client's freedom of choice in obtaining special advice.</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 The services or advice of a CPA-PP with special skills may be sought in the following ways, namely–</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t>by the client–</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(i)</w:t>
      </w:r>
      <w:r w:rsidRPr="006543AB">
        <w:rPr>
          <w:rFonts w:ascii="Times New Roman" w:hAnsi="Times New Roman" w:cs="Times New Roman"/>
          <w:sz w:val="24"/>
          <w:szCs w:val="24"/>
        </w:rPr>
        <w:tab/>
        <w:t>after prior discussion and consultation with the existing accountant;</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(ii)</w:t>
      </w:r>
      <w:r w:rsidRPr="006543AB">
        <w:rPr>
          <w:rFonts w:ascii="Times New Roman" w:hAnsi="Times New Roman" w:cs="Times New Roman"/>
          <w:sz w:val="24"/>
          <w:szCs w:val="24"/>
        </w:rPr>
        <w:tab/>
        <w:t>on a specific request or recommendation of the existing accountant; or</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(iii)</w:t>
      </w:r>
      <w:r w:rsidRPr="006543AB">
        <w:rPr>
          <w:rFonts w:ascii="Times New Roman" w:hAnsi="Times New Roman" w:cs="Times New Roman"/>
          <w:sz w:val="24"/>
          <w:szCs w:val="24"/>
        </w:rPr>
        <w:tab/>
        <w:t>without reference to the existing accountant;</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(b)</w:t>
      </w:r>
      <w:r w:rsidRPr="006543AB">
        <w:rPr>
          <w:rFonts w:ascii="Times New Roman" w:hAnsi="Times New Roman" w:cs="Times New Roman"/>
          <w:sz w:val="24"/>
          <w:szCs w:val="24"/>
        </w:rPr>
        <w:tab/>
        <w:t>by the existing accountant with due observance of the duty of confidentiality.</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(5) Where a CPA-PP is asked to provide services or advice, inquiries shall be made as to whether the prospective client has an existing accountant or there is a need to appoint another CPA-PP.</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27.</w:t>
      </w:r>
      <w:r w:rsidRPr="006543AB">
        <w:rPr>
          <w:rFonts w:ascii="Times New Roman" w:hAnsi="Times New Roman" w:cs="Times New Roman"/>
          <w:sz w:val="24"/>
          <w:szCs w:val="24"/>
        </w:rPr>
        <w:tab/>
        <w:t>Receiving accountant</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 receiving accountant has the following duties, namely–</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t>to limit the services provided to the specific assignment received by referral from the existing accountant or the client unless requested to do so by the client;</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t>to take reasonable steps to support the existing accountant's relationship with the client;</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w:t>
      </w:r>
      <w:r w:rsidRPr="006543AB">
        <w:rPr>
          <w:rFonts w:ascii="Times New Roman" w:hAnsi="Times New Roman" w:cs="Times New Roman"/>
          <w:sz w:val="24"/>
          <w:szCs w:val="24"/>
        </w:rPr>
        <w:tab/>
        <w:t>to comply with instructions received from the existing accountant or the client in so far as they do not conflict with legal or other relevant requirements; and</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(d)</w:t>
      </w:r>
      <w:r w:rsidRPr="006543AB">
        <w:rPr>
          <w:rFonts w:ascii="Times New Roman" w:hAnsi="Times New Roman" w:cs="Times New Roman"/>
          <w:sz w:val="24"/>
          <w:szCs w:val="24"/>
        </w:rPr>
        <w:tab/>
        <w:t>to ensure, as far as it is practicable, that the existing accountant is kept informed of the general nature of the professional services being performed.</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28.</w:t>
      </w:r>
      <w:r w:rsidRPr="006543AB">
        <w:rPr>
          <w:rFonts w:ascii="Times New Roman" w:hAnsi="Times New Roman" w:cs="Times New Roman"/>
          <w:sz w:val="24"/>
          <w:szCs w:val="24"/>
        </w:rPr>
        <w:tab/>
        <w:t>Existing accountant</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An existing accountant shall maintain contact with the receiving accountant and co-operate in all reasonable requests for assistance.</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29.</w:t>
      </w:r>
      <w:r w:rsidRPr="006543AB">
        <w:rPr>
          <w:rFonts w:ascii="Times New Roman" w:hAnsi="Times New Roman" w:cs="Times New Roman"/>
          <w:sz w:val="24"/>
          <w:szCs w:val="24"/>
        </w:rPr>
        <w:tab/>
        <w:t>Superseding of a professional accountant</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(1) A CPA-PP who is asked to replace another CPA-PP may ascertain as to whether there exists any professional reasons for the appointment not to be accepted.</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In the absence of a specific request, an existing accountant shall not volunteer to a proposed CPA-PP any information about the client's affairs.</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 An existing accountant may discuss the affairs of a client with the proposed CPA-PP depending on–</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t>whether the client's permission to do so has been obtained; or</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t>the legal or ethical requirements relating to that disclosure.</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30.</w:t>
      </w:r>
      <w:r w:rsidRPr="006543AB">
        <w:rPr>
          <w:rFonts w:ascii="Times New Roman" w:hAnsi="Times New Roman" w:cs="Times New Roman"/>
          <w:sz w:val="24"/>
          <w:szCs w:val="24"/>
        </w:rPr>
        <w:tab/>
        <w:t>Proposed CPA-PP</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A proposed CPA-PP shall–</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t>treat in the strictest confidence and give due weight to any information provided by the existing accountant;</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t>before accepting the appointment involving recurring professional services carried out by another CPA-PP, ascertain whether the prospective client has–</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(i)</w:t>
      </w:r>
      <w:r w:rsidRPr="006543AB">
        <w:rPr>
          <w:rFonts w:ascii="Times New Roman" w:hAnsi="Times New Roman" w:cs="Times New Roman"/>
          <w:sz w:val="24"/>
          <w:szCs w:val="24"/>
        </w:rPr>
        <w:tab/>
        <w:t>advised the existing accountant for the proposed change; and</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r>
      <w:r w:rsidRPr="006543AB">
        <w:rPr>
          <w:rFonts w:ascii="Times New Roman" w:hAnsi="Times New Roman" w:cs="Times New Roman"/>
          <w:sz w:val="24"/>
          <w:szCs w:val="24"/>
        </w:rPr>
        <w:tab/>
        <w:t>(ii)</w:t>
      </w:r>
      <w:r w:rsidRPr="006543AB">
        <w:rPr>
          <w:rFonts w:ascii="Times New Roman" w:hAnsi="Times New Roman" w:cs="Times New Roman"/>
          <w:sz w:val="24"/>
          <w:szCs w:val="24"/>
        </w:rPr>
        <w:tab/>
        <w:t>given permission to discuss the client's affair fully and freely.</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In cases where a proposed CPA-PP is satisfied with the reply from the prospective client, he shall seek permission to communicate with the existing accountant.</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(3) If the permission requested under paragraph (1)(b)(ii) and paragraph (2) of this by-law, the proposed CPA-PP shall, in the absence of exceptional circumstances of which there is full knowledge, decline the appointment.</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 The proposed CPA-PP on receipt of permission, shall ask the existing accountant to–</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t>provide information on any professional reasons which should be known before accepting the appointment; and</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t>provide all the necessary details to be able to come to a decision.</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(5) The existing accountant, on receipt of the communication referred to in this by-law shall–</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t>reply advising whether they are any professional reasons or other matters for declining the appointment;</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t>ensure that the client has given permission to give details of that information to the proposed CPA-PP.</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(6) If the proposed CPA-PP does not receive within a reasonable time a reply from the accountant on matters set out under paragraph (4), the proposed CPA-PP shall accept the appointment.</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(7) Any fees owned by the existing accountant is not a professional reason for another CPA-PP not to accept the appointment.</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(8) The existing CPA-PP shall transfer to the new CPA-PP all documents of the client after the change in appointment, unless the CPA-PP has a legal right to withhold them.</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(9) In a reply to a public advertisement or an unsolicited request to make a submission or submit a tender, if the appointment may result in the replacement of another CPA-PP, state in the submission or tender that before acceptance the opportunity to contact the other CPA-PP is required.</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31.</w:t>
      </w:r>
      <w:r w:rsidRPr="006543AB">
        <w:rPr>
          <w:rFonts w:ascii="Times New Roman" w:hAnsi="Times New Roman" w:cs="Times New Roman"/>
          <w:sz w:val="24"/>
          <w:szCs w:val="24"/>
        </w:rPr>
        <w:tab/>
        <w:t>Advertisement and solicitation</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Professional activities that may be considered in declining an appointment of another CPA-PP include the following, namely *–</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t>the creation of false, deceptive or unjustified expectations of favourable results;</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t>implication of the ability to influence any court, tribunal regulatory agency or similar body;</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w:t>
      </w:r>
      <w:r w:rsidRPr="006543AB">
        <w:rPr>
          <w:rFonts w:ascii="Times New Roman" w:hAnsi="Times New Roman" w:cs="Times New Roman"/>
          <w:sz w:val="24"/>
          <w:szCs w:val="24"/>
        </w:rPr>
        <w:tab/>
        <w:t>self-laudatory statements that are not based on verifiable facts;</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(d)</w:t>
      </w:r>
      <w:r w:rsidRPr="006543AB">
        <w:rPr>
          <w:rFonts w:ascii="Times New Roman" w:hAnsi="Times New Roman" w:cs="Times New Roman"/>
          <w:sz w:val="24"/>
          <w:szCs w:val="24"/>
        </w:rPr>
        <w:tab/>
        <w:t>comparisons with other CPA-PP;</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(e)</w:t>
      </w:r>
      <w:r w:rsidRPr="006543AB">
        <w:rPr>
          <w:rFonts w:ascii="Times New Roman" w:hAnsi="Times New Roman" w:cs="Times New Roman"/>
          <w:sz w:val="24"/>
          <w:szCs w:val="24"/>
        </w:rPr>
        <w:tab/>
        <w:t>activities containing testimonials or endorsements;</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(f)</w:t>
      </w:r>
      <w:r w:rsidRPr="006543AB">
        <w:rPr>
          <w:rFonts w:ascii="Times New Roman" w:hAnsi="Times New Roman" w:cs="Times New Roman"/>
          <w:sz w:val="24"/>
          <w:szCs w:val="24"/>
        </w:rPr>
        <w:tab/>
        <w:t>representations that would likely cause a reasonable person to be misunderstood or be deceived;</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(g)</w:t>
      </w:r>
      <w:r w:rsidRPr="006543AB">
        <w:rPr>
          <w:rFonts w:ascii="Times New Roman" w:hAnsi="Times New Roman" w:cs="Times New Roman"/>
          <w:sz w:val="24"/>
          <w:szCs w:val="24"/>
        </w:rPr>
        <w:tab/>
        <w:t>unjustified claims of being a specialist in a particular field of accountancy.</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A CPA-PP who resides in a country where advertising is prohibited shall not advertise in a newspaper or magazine published in a country where advertising is permitted.</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(3) In case of violation of paragraph (2) , the member body in the home country shall be made aware of that violation by a member body in the country in which the violation occurred.</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 NBAA shall inform the public of the range of services available from a professional accountant.</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32.</w:t>
      </w:r>
      <w:r w:rsidRPr="006543AB">
        <w:rPr>
          <w:rFonts w:ascii="Times New Roman" w:hAnsi="Times New Roman" w:cs="Times New Roman"/>
          <w:sz w:val="24"/>
          <w:szCs w:val="24"/>
        </w:rPr>
        <w:tab/>
        <w:t>Publicity by an individual CPA-PP</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Publicity by an individual CPA-PP is acceptable only on the following conditions, namely–</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t>if it has as its object the notification to the public or sectors of the public, of matters of fact in a manner that is not false, misleading or deceptive;</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t>if it is in good taste;</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w:t>
      </w:r>
      <w:r w:rsidRPr="006543AB">
        <w:rPr>
          <w:rFonts w:ascii="Times New Roman" w:hAnsi="Times New Roman" w:cs="Times New Roman"/>
          <w:sz w:val="24"/>
          <w:szCs w:val="24"/>
        </w:rPr>
        <w:tab/>
        <w:t>if it is professionally dignified; or</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(d)</w:t>
      </w:r>
      <w:r w:rsidRPr="006543AB">
        <w:rPr>
          <w:rFonts w:ascii="Times New Roman" w:hAnsi="Times New Roman" w:cs="Times New Roman"/>
          <w:sz w:val="24"/>
          <w:szCs w:val="24"/>
        </w:rPr>
        <w:tab/>
        <w:t>if it avoids frequent repetition of, and any undue prominence being given to the name of the CPA-PP.</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33.</w:t>
      </w:r>
      <w:r w:rsidRPr="006543AB">
        <w:rPr>
          <w:rFonts w:ascii="Times New Roman" w:hAnsi="Times New Roman" w:cs="Times New Roman"/>
          <w:sz w:val="24"/>
          <w:szCs w:val="24"/>
        </w:rPr>
        <w:tab/>
        <w:t>Circumstances in which publicity is acceptable G.N. No. 459 of 2000</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Notwithstanding the provisions of by-law 32(1), the following circumstances allows publicity, namely–</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t>on any appointment or other activity of a professional accountant in a matter of national or local importance provided that the accountant shall not make use of any appointment or activities for personal professional advantage;</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(b)</w:t>
      </w:r>
      <w:r w:rsidRPr="006543AB">
        <w:rPr>
          <w:rFonts w:ascii="Times New Roman" w:hAnsi="Times New Roman" w:cs="Times New Roman"/>
          <w:sz w:val="24"/>
          <w:szCs w:val="24"/>
        </w:rPr>
        <w:tab/>
        <w:t>the award of any distinction to a professional accountant;</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w:t>
      </w:r>
      <w:r w:rsidRPr="006543AB">
        <w:rPr>
          <w:rFonts w:ascii="Times New Roman" w:hAnsi="Times New Roman" w:cs="Times New Roman"/>
          <w:sz w:val="24"/>
          <w:szCs w:val="24"/>
        </w:rPr>
        <w:tab/>
        <w:t>when a professional accountant is seeking employment or professional business but shall not publicise for subcontract work in a manner which could be interpreted as seeking to procure professional business, unless the subcontract is placed in a professional press without the name, address or telephone number of the professional accountant;</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(d)</w:t>
      </w:r>
      <w:r w:rsidRPr="006543AB">
        <w:rPr>
          <w:rFonts w:ascii="Times New Roman" w:hAnsi="Times New Roman" w:cs="Times New Roman"/>
          <w:sz w:val="24"/>
          <w:szCs w:val="24"/>
        </w:rPr>
        <w:tab/>
        <w:t>a professional accountant may be listed in a directory provided neither the directory nor the entry could reasonably be regarded as a promotional advertisement;</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(e)</w:t>
      </w:r>
      <w:r w:rsidRPr="006543AB">
        <w:rPr>
          <w:rFonts w:ascii="Times New Roman" w:hAnsi="Times New Roman" w:cs="Times New Roman"/>
          <w:sz w:val="24"/>
          <w:szCs w:val="24"/>
        </w:rPr>
        <w:tab/>
        <w:t>a professional accountant in a lecture, who authors books, or participates in radio interviews or television programmes may state his name, professional qualifications and the name of the organisation and shall only present an objective professional view of the topic under consideration;</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(f)</w:t>
      </w:r>
      <w:r w:rsidRPr="006543AB">
        <w:rPr>
          <w:rFonts w:ascii="Times New Roman" w:hAnsi="Times New Roman" w:cs="Times New Roman"/>
          <w:sz w:val="24"/>
          <w:szCs w:val="24"/>
        </w:rPr>
        <w:tab/>
        <w:t>a professional accountant may invite clients, staff or other professional accountants to attend training courses or seminars conducted for the assistance of staff provided undue prominence is not given to the name of a professional accountant in any booklet or document issued therewith;</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(g)</w:t>
      </w:r>
      <w:r w:rsidRPr="006543AB">
        <w:rPr>
          <w:rFonts w:ascii="Times New Roman" w:hAnsi="Times New Roman" w:cs="Times New Roman"/>
          <w:sz w:val="24"/>
          <w:szCs w:val="24"/>
        </w:rPr>
        <w:tab/>
        <w:t>booklets and documents bearing the name of a professional accountant and giving technical information may be issued to clients, staff or other persons in response to an unsolicited request;</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(h)</w:t>
      </w:r>
      <w:r w:rsidRPr="006543AB">
        <w:rPr>
          <w:rFonts w:ascii="Times New Roman" w:hAnsi="Times New Roman" w:cs="Times New Roman"/>
          <w:sz w:val="24"/>
          <w:szCs w:val="24"/>
        </w:rPr>
        <w:tab/>
        <w:t>vacancies for staff may be communicated to the public through any medium in which comparable staff vacancies normally appear giving details of the services provided;</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(i)</w:t>
      </w:r>
      <w:r w:rsidRPr="006543AB">
        <w:rPr>
          <w:rFonts w:ascii="Times New Roman" w:hAnsi="Times New Roman" w:cs="Times New Roman"/>
          <w:sz w:val="24"/>
          <w:szCs w:val="24"/>
        </w:rPr>
        <w:tab/>
        <w:t>a CPA-PP may publicise on behalf of clients, primarily for staff towards the intended client's objectives;</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(j)</w:t>
      </w:r>
      <w:r w:rsidRPr="006543AB">
        <w:rPr>
          <w:rFonts w:ascii="Times New Roman" w:hAnsi="Times New Roman" w:cs="Times New Roman"/>
          <w:sz w:val="24"/>
          <w:szCs w:val="24"/>
        </w:rPr>
        <w:tab/>
        <w:t>a CPA-PP may issue to clients or to non-clients in response to an unsolicited request a factual and objectively worded account of the services provided and directory of associated firms and correspondences;</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(k)</w:t>
      </w:r>
      <w:r w:rsidRPr="006543AB">
        <w:rPr>
          <w:rFonts w:ascii="Times New Roman" w:hAnsi="Times New Roman" w:cs="Times New Roman"/>
          <w:sz w:val="24"/>
          <w:szCs w:val="24"/>
        </w:rPr>
        <w:tab/>
        <w:t>use of professional description and designatory letters, cities or countries of practice is allowed but designation of any services provided by the practice as being of specialist nature shall not be permitted;</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(l)</w:t>
      </w:r>
      <w:r w:rsidRPr="006543AB">
        <w:rPr>
          <w:rFonts w:ascii="Times New Roman" w:hAnsi="Times New Roman" w:cs="Times New Roman"/>
          <w:sz w:val="24"/>
          <w:szCs w:val="24"/>
        </w:rPr>
        <w:tab/>
        <w:t>when a client proposes to public a report by a CPA-PP in dealing with the client's existing business affairs or in connection with the establishment of a new business venture, the CPA-PP shall seek for a permit and ensure that the context in which the report is published is not such as might result in the public being misled as to the nature and meaning of the report;</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(m)</w:t>
      </w:r>
      <w:r w:rsidRPr="006543AB">
        <w:rPr>
          <w:rFonts w:ascii="Times New Roman" w:hAnsi="Times New Roman" w:cs="Times New Roman"/>
          <w:sz w:val="24"/>
          <w:szCs w:val="24"/>
        </w:rPr>
        <w:tab/>
        <w:t>when a professional accountant in his private capacity is associated with or holds office in an organisation, that organisation may use his name and professional status on its stationary and other documents.</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PART IV</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EMPLOYED CERTIFIED PUBLIC ACCOUNTANTS (CPA) (bylaws 34-37)</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34.</w:t>
      </w:r>
      <w:r w:rsidRPr="006543AB">
        <w:rPr>
          <w:rFonts w:ascii="Times New Roman" w:hAnsi="Times New Roman" w:cs="Times New Roman"/>
          <w:sz w:val="24"/>
          <w:szCs w:val="24"/>
        </w:rPr>
        <w:tab/>
        <w:t>Conflict of loyalties G.N. No. 459 of 2000</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An employed CPA owes a duty of loyalty to his employer as well as to the profession, and shall not–</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(a)</w:t>
      </w:r>
      <w:r w:rsidRPr="006543AB">
        <w:rPr>
          <w:rFonts w:ascii="Times New Roman" w:hAnsi="Times New Roman" w:cs="Times New Roman"/>
          <w:sz w:val="24"/>
          <w:szCs w:val="24"/>
        </w:rPr>
        <w:tab/>
        <w:t>break the law;</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t>breach the rules and standards of the profession;</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w:t>
      </w:r>
      <w:r w:rsidRPr="006543AB">
        <w:rPr>
          <w:rFonts w:ascii="Times New Roman" w:hAnsi="Times New Roman" w:cs="Times New Roman"/>
          <w:sz w:val="24"/>
          <w:szCs w:val="24"/>
        </w:rPr>
        <w:tab/>
        <w:t>lie or mislead those acting as auditors to the employer;</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(d)</w:t>
      </w:r>
      <w:r w:rsidRPr="006543AB">
        <w:rPr>
          <w:rFonts w:ascii="Times New Roman" w:hAnsi="Times New Roman" w:cs="Times New Roman"/>
          <w:sz w:val="24"/>
          <w:szCs w:val="24"/>
        </w:rPr>
        <w:tab/>
        <w:t>get involved in corrupt practices;</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(e)</w:t>
      </w:r>
      <w:r w:rsidRPr="006543AB">
        <w:rPr>
          <w:rFonts w:ascii="Times New Roman" w:hAnsi="Times New Roman" w:cs="Times New Roman"/>
          <w:sz w:val="24"/>
          <w:szCs w:val="24"/>
        </w:rPr>
        <w:tab/>
        <w:t>put his name to or otherwise be associated with a statement which materially misrepresents facts.</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Any differences in opinion on the correct judgement on accounting or ethical matters shall initially be resolved within the employees organisation, with the employee's immediate superior and thereafter, with higher levels of management or non executive directors.</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 If an employed CPA cannot resolve any material issue involving a conflict between his employer and his professional requirements, he may consider resignation after exhausting all other relevant possibilities.</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35.</w:t>
      </w:r>
      <w:r w:rsidRPr="006543AB">
        <w:rPr>
          <w:rFonts w:ascii="Times New Roman" w:hAnsi="Times New Roman" w:cs="Times New Roman"/>
          <w:sz w:val="24"/>
          <w:szCs w:val="24"/>
        </w:rPr>
        <w:tab/>
        <w:t>Support for professional colleagues</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 professional accountant having authority over others shall give due weight and hold their own judgement in accounting matters and shall deal with differences of opinion in a professional way.</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36.</w:t>
      </w:r>
      <w:r w:rsidRPr="006543AB">
        <w:rPr>
          <w:rFonts w:ascii="Times New Roman" w:hAnsi="Times New Roman" w:cs="Times New Roman"/>
          <w:sz w:val="24"/>
          <w:szCs w:val="24"/>
        </w:rPr>
        <w:tab/>
        <w:t>Professional competence</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 CPA, when undertaking any work shall not mislead the employer as to the degree of expertise or experience he possesses, where appropriate expert advice or assistance shall be sought.</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37.</w:t>
      </w:r>
      <w:r w:rsidRPr="006543AB">
        <w:rPr>
          <w:rFonts w:ascii="Times New Roman" w:hAnsi="Times New Roman" w:cs="Times New Roman"/>
          <w:sz w:val="24"/>
          <w:szCs w:val="24"/>
        </w:rPr>
        <w:tab/>
        <w:t>Presentation of information</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A CPA shall present any financial information fully, honestly and professionally so as to be understood in its context.</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All financial and non-financial information shall be maintained in a manner that describes clearly the true nature of business transactions, assets, liabilities and records entries in a timely and proper manner as required by law.</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PART V</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ENFORCEMENT (bylaws 38-39)</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38.</w:t>
      </w:r>
      <w:r w:rsidRPr="006543AB">
        <w:rPr>
          <w:rFonts w:ascii="Times New Roman" w:hAnsi="Times New Roman" w:cs="Times New Roman"/>
          <w:sz w:val="24"/>
          <w:szCs w:val="24"/>
        </w:rPr>
        <w:tab/>
        <w:t>Disciplinary procedure for non-compliance</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Every member of the accountancy profession either registered or unregistered with NBAA is required to comply with provisions of these By-laws.</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Disciplinary action for breach of any of the provisions of these By-laws shall include the following, namely–</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t>de-registration of the member with subsequent announcement in the Gazette and the accountancy journals issued by the NBAA;</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t>any other disciplinary action as may be directed by the governing councils of NBAA;</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w:t>
      </w:r>
      <w:r w:rsidRPr="006543AB">
        <w:rPr>
          <w:rFonts w:ascii="Times New Roman" w:hAnsi="Times New Roman" w:cs="Times New Roman"/>
          <w:sz w:val="24"/>
          <w:szCs w:val="24"/>
        </w:rPr>
        <w:tab/>
        <w:t>court prosecution where serious breach of these By-laws has been committed by a member.</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39.</w:t>
      </w:r>
      <w:r w:rsidRPr="006543AB">
        <w:rPr>
          <w:rFonts w:ascii="Times New Roman" w:hAnsi="Times New Roman" w:cs="Times New Roman"/>
          <w:sz w:val="24"/>
          <w:szCs w:val="24"/>
        </w:rPr>
        <w:tab/>
        <w:t>Ethics and Disciplinary Committee</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The NBAA Members Services Committee which will reconstitute itself as the "Ethics and Disciplinary Committee" shall receive and cause to be investigated complaints regarding the conduct or actions of any member who has breached these By-laws and recommended any of the disciplinary actions under by-law 39 against the member to the Board for approval.</w:t>
      </w:r>
    </w:p>
    <w:p w:rsidR="00087791" w:rsidRPr="006543AB" w:rsidRDefault="00087791" w:rsidP="00087791">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Any person aggrieved by the decision of the Ethics and Disciplinary Committee may appeal to the governing Board of the NBAA.</w:t>
      </w:r>
    </w:p>
    <w:p w:rsidR="00400E5A" w:rsidRDefault="00400E5A"/>
    <w:sectPr w:rsidR="00400E5A" w:rsidSect="00400E5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compat/>
  <w:rsids>
    <w:rsidRoot w:val="00087791"/>
    <w:rsid w:val="00087791"/>
    <w:rsid w:val="00400E5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779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34</Pages>
  <Words>5780</Words>
  <Characters>32946</Characters>
  <Application>Microsoft Office Word</Application>
  <DocSecurity>0</DocSecurity>
  <Lines>274</Lines>
  <Paragraphs>77</Paragraphs>
  <ScaleCrop>false</ScaleCrop>
  <Company/>
  <LinksUpToDate>false</LinksUpToDate>
  <CharactersWithSpaces>38649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MANDELA</dc:creator>
  <cp:lastModifiedBy>MANDELA</cp:lastModifiedBy>
  <cp:revision>1</cp:revision>
  <dcterms:created xsi:type="dcterms:W3CDTF">2022-04-17T15:31:00Z</dcterms:created>
  <dcterms:modified xsi:type="dcterms:W3CDTF">2022-04-17T15:31:00Z</dcterms:modified>
</cp:coreProperties>
</file>